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7" w:type="dxa"/>
        <w:tblInd w:w="-162" w:type="dxa"/>
        <w:tblLook w:val="00A0" w:firstRow="1" w:lastRow="0" w:firstColumn="1" w:lastColumn="0" w:noHBand="0" w:noVBand="0"/>
      </w:tblPr>
      <w:tblGrid>
        <w:gridCol w:w="10167"/>
        <w:gridCol w:w="500"/>
      </w:tblGrid>
      <w:tr w:rsidR="00D77FC9" w:rsidRPr="00C3696A" w14:paraId="2BC659F8" w14:textId="77777777" w:rsidTr="00C3696A">
        <w:tc>
          <w:tcPr>
            <w:tcW w:w="10167" w:type="dxa"/>
          </w:tcPr>
          <w:tbl>
            <w:tblPr>
              <w:tblW w:w="9951" w:type="dxa"/>
              <w:tblLook w:val="00A0" w:firstRow="1" w:lastRow="0" w:firstColumn="1" w:lastColumn="0" w:noHBand="0" w:noVBand="0"/>
            </w:tblPr>
            <w:tblGrid>
              <w:gridCol w:w="8118"/>
              <w:gridCol w:w="1833"/>
            </w:tblGrid>
            <w:tr w:rsidR="003964D6" w:rsidRPr="00C3696A" w14:paraId="2D34F890" w14:textId="77777777" w:rsidTr="006F6D89">
              <w:tc>
                <w:tcPr>
                  <w:tcW w:w="8118" w:type="dxa"/>
                </w:tcPr>
                <w:p w14:paraId="1ACFBFD8" w14:textId="77777777" w:rsidR="003964D6" w:rsidRPr="00C3696A" w:rsidRDefault="003964D6" w:rsidP="006F6D89">
                  <w:pPr>
                    <w:spacing w:line="288" w:lineRule="auto"/>
                    <w:rPr>
                      <w:rFonts w:asciiTheme="minorBidi" w:hAnsiTheme="minorBidi" w:cstheme="minorBidi"/>
                      <w:b/>
                      <w:color w:val="000000"/>
                      <w:sz w:val="28"/>
                      <w:szCs w:val="28"/>
                    </w:rPr>
                  </w:pPr>
                </w:p>
                <w:p w14:paraId="2EFF929E" w14:textId="77777777" w:rsidR="003964D6" w:rsidRPr="00C3696A" w:rsidRDefault="003964D6" w:rsidP="008D41D3">
                  <w:pPr>
                    <w:ind w:right="-1820"/>
                    <w:rPr>
                      <w:rFonts w:asciiTheme="minorBidi" w:hAnsiTheme="minorBidi" w:cstheme="minorBidi"/>
                      <w:b/>
                      <w:i/>
                      <w:sz w:val="24"/>
                    </w:rPr>
                  </w:pPr>
                  <w:r w:rsidRPr="00C3696A">
                    <w:rPr>
                      <w:rFonts w:asciiTheme="minorBidi" w:hAnsiTheme="minorBidi" w:cstheme="minorBidi"/>
                    </w:rPr>
                    <w:t xml:space="preserve">                                                                                     </w:t>
                  </w:r>
                  <w:r w:rsidR="008D41D3" w:rsidRPr="00C3696A">
                    <w:rPr>
                      <w:rFonts w:asciiTheme="minorBidi" w:hAnsiTheme="minorBidi" w:cstheme="minorBidi"/>
                    </w:rPr>
                    <w:t xml:space="preserve">      </w:t>
                  </w:r>
                </w:p>
                <w:p w14:paraId="1DA88660" w14:textId="77777777" w:rsidR="003964D6" w:rsidRPr="00C3696A" w:rsidRDefault="000610C1" w:rsidP="000610C1">
                  <w:pPr>
                    <w:jc w:val="center"/>
                    <w:rPr>
                      <w:rFonts w:asciiTheme="minorBidi" w:eastAsia="Calibri" w:hAnsiTheme="minorBidi" w:cstheme="minorBidi"/>
                      <w:b/>
                      <w:iCs/>
                      <w:color w:val="FF0000"/>
                      <w:sz w:val="24"/>
                      <w:szCs w:val="24"/>
                      <w:lang w:val="en-US" w:eastAsia="ar-SA"/>
                    </w:rPr>
                  </w:pPr>
                  <w:r w:rsidRPr="00C3696A">
                    <w:rPr>
                      <w:rFonts w:asciiTheme="minorBidi" w:eastAsia="Calibri" w:hAnsiTheme="minorBidi" w:cstheme="minorBidi"/>
                      <w:b/>
                      <w:iCs/>
                      <w:color w:val="FF0000"/>
                      <w:sz w:val="24"/>
                      <w:szCs w:val="24"/>
                      <w:lang w:val="en-US" w:eastAsia="ar-SA"/>
                    </w:rPr>
                    <w:t xml:space="preserve">                        </w:t>
                  </w:r>
                </w:p>
                <w:p w14:paraId="6537D595" w14:textId="77777777" w:rsidR="000610C1" w:rsidRPr="00C3696A" w:rsidRDefault="000610C1" w:rsidP="000610C1">
                  <w:pPr>
                    <w:jc w:val="center"/>
                    <w:rPr>
                      <w:rFonts w:asciiTheme="minorBidi" w:eastAsia="Calibri" w:hAnsiTheme="minorBidi" w:cstheme="minorBidi"/>
                      <w:b/>
                      <w:iCs/>
                      <w:color w:val="FF0000"/>
                      <w:sz w:val="24"/>
                      <w:szCs w:val="24"/>
                      <w:lang w:val="en-US" w:eastAsia="ar-SA"/>
                    </w:rPr>
                  </w:pPr>
                </w:p>
                <w:p w14:paraId="2A09A4A0" w14:textId="77777777" w:rsidR="000610C1" w:rsidRPr="00C3696A" w:rsidRDefault="000610C1" w:rsidP="000610C1">
                  <w:pPr>
                    <w:jc w:val="center"/>
                    <w:rPr>
                      <w:rFonts w:asciiTheme="minorBidi" w:eastAsia="Calibri" w:hAnsiTheme="minorBidi" w:cstheme="minorBidi"/>
                      <w:b/>
                      <w:iCs/>
                      <w:color w:val="FF0000"/>
                      <w:sz w:val="24"/>
                      <w:szCs w:val="24"/>
                      <w:lang w:val="en-US" w:eastAsia="ar-SA"/>
                    </w:rPr>
                  </w:pPr>
                </w:p>
                <w:p w14:paraId="5B6EB9EB" w14:textId="77777777" w:rsidR="00C3696A" w:rsidRPr="00C3696A" w:rsidRDefault="000610C1" w:rsidP="000610C1">
                  <w:pPr>
                    <w:jc w:val="center"/>
                    <w:rPr>
                      <w:rFonts w:asciiTheme="minorBidi" w:hAnsiTheme="minorBidi" w:cstheme="minorBidi"/>
                      <w:b/>
                    </w:rPr>
                  </w:pPr>
                  <w:r w:rsidRPr="00C3696A">
                    <w:rPr>
                      <w:rFonts w:asciiTheme="minorBidi" w:hAnsiTheme="minorBidi" w:cstheme="minorBidi"/>
                      <w:b/>
                    </w:rPr>
                    <w:t xml:space="preserve">                           </w:t>
                  </w:r>
                </w:p>
                <w:p w14:paraId="4F9D510B" w14:textId="77777777" w:rsidR="000C09ED" w:rsidRPr="00C3696A" w:rsidRDefault="000C09ED" w:rsidP="00B07259">
                  <w:pPr>
                    <w:rPr>
                      <w:rFonts w:asciiTheme="minorBidi" w:hAnsiTheme="minorBidi" w:cstheme="minorBidi"/>
                      <w:b/>
                    </w:rPr>
                  </w:pPr>
                </w:p>
              </w:tc>
              <w:tc>
                <w:tcPr>
                  <w:tcW w:w="1833" w:type="dxa"/>
                  <w:hideMark/>
                </w:tcPr>
                <w:p w14:paraId="613AF0CE" w14:textId="77777777" w:rsidR="003964D6" w:rsidRPr="00C3696A" w:rsidRDefault="003964D6" w:rsidP="006F6D89">
                  <w:pPr>
                    <w:tabs>
                      <w:tab w:val="clear" w:pos="1701"/>
                      <w:tab w:val="left" w:pos="330"/>
                      <w:tab w:val="left" w:pos="1512"/>
                      <w:tab w:val="right" w:pos="2605"/>
                    </w:tabs>
                    <w:spacing w:line="288" w:lineRule="auto"/>
                    <w:ind w:left="-249" w:firstLine="249"/>
                    <w:rPr>
                      <w:rFonts w:asciiTheme="minorBidi" w:hAnsiTheme="minorBidi" w:cstheme="minorBidi"/>
                      <w:b/>
                      <w:color w:val="002060"/>
                      <w:lang w:val="en-US"/>
                    </w:rPr>
                  </w:pPr>
                  <w:r w:rsidRPr="00C3696A">
                    <w:rPr>
                      <w:rFonts w:asciiTheme="minorBidi" w:hAnsiTheme="minorBidi" w:cstheme="minorBidi"/>
                      <w:b/>
                      <w:color w:val="002060"/>
                      <w:lang w:val="en-US"/>
                    </w:rPr>
                    <w:tab/>
                  </w:r>
                  <w:r w:rsidRPr="00C3696A">
                    <w:rPr>
                      <w:rFonts w:asciiTheme="minorBidi" w:hAnsiTheme="minorBidi" w:cstheme="minorBidi"/>
                      <w:b/>
                      <w:noProof/>
                      <w:color w:val="002060"/>
                      <w:lang w:val="pt-PT" w:eastAsia="pt-PT"/>
                    </w:rPr>
                    <w:drawing>
                      <wp:inline distT="0" distB="0" distL="0" distR="0" wp14:anchorId="01AD34CA" wp14:editId="6CCECC86">
                        <wp:extent cx="792480" cy="1280160"/>
                        <wp:effectExtent l="1905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4150" b="4150"/>
                                <a:stretch>
                                  <a:fillRect/>
                                </a:stretch>
                              </pic:blipFill>
                              <pic:spPr bwMode="auto">
                                <a:xfrm>
                                  <a:off x="0" y="0"/>
                                  <a:ext cx="792480" cy="1280160"/>
                                </a:xfrm>
                                <a:prstGeom prst="rect">
                                  <a:avLst/>
                                </a:prstGeom>
                                <a:noFill/>
                                <a:ln w="9525">
                                  <a:noFill/>
                                  <a:miter lim="800000"/>
                                  <a:headEnd/>
                                  <a:tailEnd/>
                                </a:ln>
                              </pic:spPr>
                            </pic:pic>
                          </a:graphicData>
                        </a:graphic>
                      </wp:inline>
                    </w:drawing>
                  </w:r>
                </w:p>
              </w:tc>
            </w:tr>
          </w:tbl>
          <w:p w14:paraId="64306B1A" w14:textId="77777777" w:rsidR="00D77FC9" w:rsidRPr="00C3696A" w:rsidRDefault="00D77FC9">
            <w:pPr>
              <w:pStyle w:val="EuropeanCommissionPR"/>
              <w:spacing w:before="0" w:after="0" w:line="288" w:lineRule="auto"/>
              <w:rPr>
                <w:rFonts w:asciiTheme="minorBidi" w:hAnsiTheme="minorBidi" w:cstheme="minorBidi"/>
              </w:rPr>
            </w:pPr>
          </w:p>
        </w:tc>
        <w:tc>
          <w:tcPr>
            <w:tcW w:w="500" w:type="dxa"/>
            <w:hideMark/>
          </w:tcPr>
          <w:p w14:paraId="3089A687" w14:textId="77777777" w:rsidR="00D77FC9" w:rsidRPr="00C3696A" w:rsidRDefault="00D77FC9" w:rsidP="000302AC">
            <w:pPr>
              <w:tabs>
                <w:tab w:val="clear" w:pos="1701"/>
                <w:tab w:val="left" w:pos="330"/>
                <w:tab w:val="left" w:pos="1512"/>
                <w:tab w:val="right" w:pos="2605"/>
              </w:tabs>
              <w:spacing w:line="288" w:lineRule="auto"/>
              <w:ind w:left="-249" w:firstLine="249"/>
              <w:rPr>
                <w:rFonts w:asciiTheme="minorBidi" w:hAnsiTheme="minorBidi" w:cstheme="minorBidi"/>
                <w:b/>
                <w:color w:val="002060"/>
                <w:lang w:val="en-US"/>
              </w:rPr>
            </w:pPr>
            <w:r w:rsidRPr="00C3696A">
              <w:rPr>
                <w:rFonts w:asciiTheme="minorBidi" w:hAnsiTheme="minorBidi" w:cstheme="minorBidi"/>
                <w:b/>
                <w:color w:val="002060"/>
                <w:lang w:val="en-US"/>
              </w:rPr>
              <w:tab/>
            </w:r>
          </w:p>
        </w:tc>
      </w:tr>
    </w:tbl>
    <w:p w14:paraId="49BF8A79" w14:textId="77777777" w:rsidR="003D1C97" w:rsidRPr="00771636" w:rsidRDefault="003D1C97" w:rsidP="003D1C97">
      <w:pPr>
        <w:jc w:val="center"/>
        <w:rPr>
          <w:b/>
          <w:sz w:val="24"/>
          <w:szCs w:val="24"/>
          <w:lang w:val="de-DE"/>
        </w:rPr>
      </w:pPr>
      <w:r w:rsidRPr="00771636">
        <w:rPr>
          <w:b/>
          <w:sz w:val="24"/>
          <w:szCs w:val="24"/>
          <w:lang w:val="de-DE"/>
        </w:rPr>
        <w:t>PRESSE-ERKLÄRUNG</w:t>
      </w:r>
    </w:p>
    <w:p w14:paraId="0ACE0228" w14:textId="77777777" w:rsidR="00C3696A" w:rsidRPr="0087245D" w:rsidRDefault="00C3696A" w:rsidP="00755130">
      <w:pPr>
        <w:jc w:val="center"/>
        <w:rPr>
          <w:rFonts w:asciiTheme="minorBidi" w:eastAsia="Arial" w:hAnsiTheme="minorBidi" w:cstheme="minorBidi"/>
          <w:b/>
          <w:sz w:val="24"/>
          <w:szCs w:val="24"/>
          <w:lang w:val="de-DE" w:eastAsia="pt-PT"/>
        </w:rPr>
      </w:pPr>
    </w:p>
    <w:p w14:paraId="69C631AB" w14:textId="77777777" w:rsidR="00B07259" w:rsidRDefault="00B07259" w:rsidP="00D71315">
      <w:pPr>
        <w:jc w:val="center"/>
        <w:rPr>
          <w:rFonts w:ascii="Calibri" w:hAnsi="Calibri" w:cs="Calibri"/>
          <w:b/>
          <w:bCs/>
          <w:color w:val="000000"/>
          <w:sz w:val="28"/>
          <w:szCs w:val="28"/>
          <w:lang w:val="de-DE"/>
        </w:rPr>
      </w:pPr>
      <w:bookmarkStart w:id="0" w:name="_Hlk39140482"/>
    </w:p>
    <w:p w14:paraId="27481AE5" w14:textId="4A4FA04E" w:rsidR="003D1C97" w:rsidRPr="009924F9" w:rsidRDefault="003D1C97" w:rsidP="00D71315">
      <w:pPr>
        <w:jc w:val="center"/>
        <w:rPr>
          <w:rFonts w:cs="Arial"/>
          <w:b/>
          <w:color w:val="000000"/>
          <w:sz w:val="24"/>
          <w:szCs w:val="24"/>
          <w:lang w:val="de-DE"/>
        </w:rPr>
      </w:pPr>
      <w:r w:rsidRPr="009924F9">
        <w:rPr>
          <w:rFonts w:cs="Arial"/>
          <w:b/>
          <w:bCs/>
          <w:color w:val="000000"/>
          <w:sz w:val="24"/>
          <w:szCs w:val="24"/>
          <w:lang w:val="de-DE"/>
        </w:rPr>
        <w:t>Das Gutshof-Schloss vom «Bois de Chênes»</w:t>
      </w:r>
      <w:r w:rsidR="00D71315" w:rsidRPr="009924F9">
        <w:rPr>
          <w:rFonts w:cs="Arial"/>
          <w:b/>
          <w:bCs/>
          <w:color w:val="000000"/>
          <w:sz w:val="24"/>
          <w:szCs w:val="24"/>
          <w:lang w:val="de-DE"/>
        </w:rPr>
        <w:t xml:space="preserve"> und</w:t>
      </w:r>
      <w:r w:rsidRPr="009924F9">
        <w:rPr>
          <w:rFonts w:cs="Arial"/>
          <w:b/>
          <w:bCs/>
          <w:color w:val="000000"/>
          <w:sz w:val="24"/>
          <w:szCs w:val="24"/>
          <w:lang w:val="de-DE"/>
        </w:rPr>
        <w:t xml:space="preserve"> </w:t>
      </w:r>
      <w:bookmarkEnd w:id="0"/>
      <w:r w:rsidR="00C9796C" w:rsidRPr="009924F9">
        <w:rPr>
          <w:rFonts w:cs="Arial"/>
          <w:b/>
          <w:bCs/>
          <w:color w:val="000000"/>
          <w:sz w:val="24"/>
          <w:szCs w:val="24"/>
          <w:lang w:val="de-DE"/>
        </w:rPr>
        <w:t xml:space="preserve">die </w:t>
      </w:r>
      <w:r w:rsidR="00D71315" w:rsidRPr="009924F9">
        <w:rPr>
          <w:rFonts w:cs="Arial"/>
          <w:b/>
          <w:bCs/>
          <w:color w:val="000000"/>
          <w:sz w:val="24"/>
          <w:szCs w:val="24"/>
          <w:lang w:val="de-DE"/>
        </w:rPr>
        <w:t xml:space="preserve">Société de Lecture in Genf </w:t>
      </w:r>
      <w:r w:rsidRPr="009924F9">
        <w:rPr>
          <w:rFonts w:cs="Arial"/>
          <w:b/>
          <w:color w:val="000000"/>
          <w:sz w:val="24"/>
          <w:szCs w:val="24"/>
          <w:lang w:val="de-DE"/>
        </w:rPr>
        <w:t>erhalten den Europa Nostra Award 2020</w:t>
      </w:r>
    </w:p>
    <w:p w14:paraId="3AFE5E2A" w14:textId="77777777" w:rsidR="00B07259" w:rsidRDefault="00B07259" w:rsidP="00923936">
      <w:pPr>
        <w:suppressAutoHyphens/>
        <w:jc w:val="both"/>
        <w:rPr>
          <w:color w:val="000000"/>
          <w:sz w:val="20"/>
          <w:lang w:val="de-DE"/>
        </w:rPr>
      </w:pPr>
    </w:p>
    <w:p w14:paraId="736C51AC" w14:textId="77777777" w:rsidR="00B07259" w:rsidRDefault="00B07259" w:rsidP="00923936">
      <w:pPr>
        <w:suppressAutoHyphens/>
        <w:jc w:val="both"/>
        <w:rPr>
          <w:color w:val="000000"/>
          <w:sz w:val="20"/>
          <w:lang w:val="de-DE"/>
        </w:rPr>
      </w:pPr>
    </w:p>
    <w:p w14:paraId="0EE70D67" w14:textId="18764583" w:rsidR="00C3696A" w:rsidRPr="00B07259" w:rsidRDefault="003D1C97" w:rsidP="00923936">
      <w:pPr>
        <w:suppressAutoHyphens/>
        <w:jc w:val="both"/>
        <w:rPr>
          <w:rFonts w:asciiTheme="minorBidi" w:hAnsiTheme="minorBidi" w:cstheme="minorBidi"/>
          <w:color w:val="000000"/>
          <w:sz w:val="20"/>
          <w:lang w:val="de-DE"/>
        </w:rPr>
      </w:pPr>
      <w:r w:rsidRPr="0087245D">
        <w:rPr>
          <w:color w:val="000000"/>
          <w:sz w:val="20"/>
          <w:lang w:val="de-DE"/>
        </w:rPr>
        <w:t>Den Haag, 07. Mai 2020</w:t>
      </w:r>
    </w:p>
    <w:p w14:paraId="4C6B5ACE" w14:textId="44908EFE" w:rsidR="00C9796C" w:rsidRPr="00D639FF" w:rsidRDefault="00C9796C" w:rsidP="00C9796C">
      <w:pPr>
        <w:pStyle w:val="NormalWeb"/>
        <w:spacing w:before="120" w:beforeAutospacing="0" w:after="0" w:afterAutospacing="0"/>
        <w:jc w:val="both"/>
        <w:rPr>
          <w:rFonts w:asciiTheme="minorBidi" w:hAnsiTheme="minorBidi" w:cstheme="minorBidi"/>
          <w:color w:val="000000"/>
          <w:sz w:val="20"/>
          <w:szCs w:val="20"/>
          <w:lang w:val="it-IT"/>
        </w:rPr>
      </w:pPr>
      <w:r w:rsidRPr="0087245D">
        <w:rPr>
          <w:rFonts w:asciiTheme="minorBidi" w:hAnsiTheme="minorBidi" w:cstheme="minorBidi"/>
          <w:color w:val="000000"/>
          <w:sz w:val="20"/>
          <w:szCs w:val="20"/>
          <w:lang w:val="it-IT"/>
        </w:rPr>
        <w:t xml:space="preserve">Zwei herausragende Initiativen aus der Schweiz gehören zu den Gewinnern der </w:t>
      </w:r>
      <w:r w:rsidR="00284564" w:rsidRPr="0087245D">
        <w:rPr>
          <w:rFonts w:asciiTheme="minorBidi" w:hAnsiTheme="minorBidi" w:cstheme="minorBidi"/>
          <w:color w:val="000000"/>
          <w:sz w:val="20"/>
          <w:szCs w:val="20"/>
          <w:lang w:val="it-IT"/>
        </w:rPr>
        <w:t>Europa Nostra Awards 2020</w:t>
      </w:r>
      <w:r w:rsidRPr="0087245D">
        <w:rPr>
          <w:rFonts w:asciiTheme="minorBidi" w:hAnsiTheme="minorBidi" w:cstheme="minorBidi"/>
          <w:color w:val="000000"/>
          <w:sz w:val="20"/>
          <w:szCs w:val="20"/>
          <w:lang w:val="it-IT"/>
        </w:rPr>
        <w:t>:</w:t>
      </w:r>
      <w:r w:rsidR="00284564" w:rsidRPr="00B07259">
        <w:rPr>
          <w:rFonts w:asciiTheme="minorBidi" w:hAnsiTheme="minorBidi" w:cstheme="minorBidi"/>
          <w:b/>
          <w:bCs/>
          <w:color w:val="000000"/>
          <w:sz w:val="20"/>
          <w:szCs w:val="20"/>
          <w:lang w:val="de-DE"/>
        </w:rPr>
        <w:t xml:space="preserve"> Das Gutshof-Schloss vom «Bois de Chênes»</w:t>
      </w:r>
      <w:r w:rsidR="00284564" w:rsidRPr="0087245D">
        <w:rPr>
          <w:rFonts w:asciiTheme="minorBidi" w:hAnsiTheme="minorBidi" w:cstheme="minorBidi"/>
          <w:color w:val="000000"/>
          <w:sz w:val="20"/>
          <w:szCs w:val="20"/>
          <w:lang w:val="it-IT"/>
        </w:rPr>
        <w:t xml:space="preserve">, </w:t>
      </w:r>
      <w:r w:rsidR="00ED690B" w:rsidRPr="0087245D">
        <w:rPr>
          <w:rFonts w:asciiTheme="minorBidi" w:hAnsiTheme="minorBidi" w:cstheme="minorBidi"/>
          <w:color w:val="000000"/>
          <w:sz w:val="20"/>
          <w:szCs w:val="20"/>
          <w:lang w:val="it-IT"/>
        </w:rPr>
        <w:t xml:space="preserve">in </w:t>
      </w:r>
      <w:r w:rsidRPr="0087245D">
        <w:rPr>
          <w:rFonts w:asciiTheme="minorBidi" w:hAnsiTheme="minorBidi" w:cstheme="minorBidi"/>
          <w:color w:val="000000"/>
          <w:sz w:val="20"/>
          <w:szCs w:val="20"/>
          <w:lang w:val="it-IT"/>
        </w:rPr>
        <w:t>der K</w:t>
      </w:r>
      <w:r w:rsidR="00ED690B" w:rsidRPr="0087245D">
        <w:rPr>
          <w:rFonts w:asciiTheme="minorBidi" w:hAnsiTheme="minorBidi" w:cstheme="minorBidi"/>
          <w:color w:val="000000"/>
          <w:sz w:val="20"/>
          <w:szCs w:val="20"/>
          <w:lang w:val="it-IT"/>
        </w:rPr>
        <w:t>ategor</w:t>
      </w:r>
      <w:r w:rsidRPr="0087245D">
        <w:rPr>
          <w:rFonts w:asciiTheme="minorBidi" w:hAnsiTheme="minorBidi" w:cstheme="minorBidi"/>
          <w:color w:val="000000"/>
          <w:sz w:val="20"/>
          <w:szCs w:val="20"/>
          <w:lang w:val="it-IT"/>
        </w:rPr>
        <w:t>ie</w:t>
      </w:r>
      <w:r w:rsidR="00284564" w:rsidRPr="0087245D">
        <w:rPr>
          <w:rFonts w:asciiTheme="minorBidi" w:hAnsiTheme="minorBidi" w:cstheme="minorBidi"/>
          <w:color w:val="000000"/>
          <w:sz w:val="20"/>
          <w:szCs w:val="20"/>
          <w:lang w:val="it-IT"/>
        </w:rPr>
        <w:t xml:space="preserve"> </w:t>
      </w:r>
      <w:r w:rsidRPr="0087245D">
        <w:rPr>
          <w:rFonts w:asciiTheme="minorBidi" w:hAnsiTheme="minorBidi" w:cstheme="minorBidi"/>
          <w:color w:val="000000"/>
          <w:sz w:val="20"/>
          <w:szCs w:val="20"/>
          <w:lang w:val="it-IT"/>
        </w:rPr>
        <w:t>“</w:t>
      </w:r>
      <w:r w:rsidR="00ED690B" w:rsidRPr="0087245D">
        <w:rPr>
          <w:rFonts w:asciiTheme="minorBidi" w:hAnsiTheme="minorBidi" w:cstheme="minorBidi"/>
          <w:color w:val="000000"/>
          <w:sz w:val="20"/>
          <w:szCs w:val="20"/>
          <w:lang w:val="it-IT"/>
        </w:rPr>
        <w:t>Erhaltung</w:t>
      </w:r>
      <w:r w:rsidRPr="0087245D">
        <w:rPr>
          <w:rFonts w:asciiTheme="minorBidi" w:hAnsiTheme="minorBidi" w:cstheme="minorBidi"/>
          <w:color w:val="000000"/>
          <w:sz w:val="20"/>
          <w:szCs w:val="20"/>
          <w:lang w:val="it-IT"/>
        </w:rPr>
        <w:t>”, u</w:t>
      </w:r>
      <w:r w:rsidR="00ED690B" w:rsidRPr="0087245D">
        <w:rPr>
          <w:rFonts w:asciiTheme="minorBidi" w:hAnsiTheme="minorBidi" w:cstheme="minorBidi"/>
          <w:color w:val="000000"/>
          <w:sz w:val="20"/>
          <w:szCs w:val="20"/>
          <w:lang w:val="it-IT"/>
        </w:rPr>
        <w:t xml:space="preserve">nd </w:t>
      </w:r>
      <w:r w:rsidRPr="0087245D">
        <w:rPr>
          <w:rFonts w:asciiTheme="minorBidi" w:hAnsiTheme="minorBidi" w:cstheme="minorBidi"/>
          <w:color w:val="000000"/>
          <w:sz w:val="20"/>
          <w:szCs w:val="20"/>
          <w:lang w:val="it-IT"/>
        </w:rPr>
        <w:t>die</w:t>
      </w:r>
      <w:r w:rsidRPr="0087245D">
        <w:rPr>
          <w:rFonts w:asciiTheme="minorBidi" w:hAnsiTheme="minorBidi" w:cstheme="minorBidi"/>
          <w:b/>
          <w:bCs/>
          <w:color w:val="000000"/>
          <w:sz w:val="20"/>
          <w:szCs w:val="20"/>
          <w:lang w:val="it-IT"/>
        </w:rPr>
        <w:t xml:space="preserve"> </w:t>
      </w:r>
      <w:r w:rsidR="00ED690B" w:rsidRPr="0087245D">
        <w:rPr>
          <w:rFonts w:asciiTheme="minorBidi" w:hAnsiTheme="minorBidi" w:cstheme="minorBidi"/>
          <w:b/>
          <w:bCs/>
          <w:color w:val="000000"/>
          <w:sz w:val="20"/>
          <w:szCs w:val="20"/>
          <w:lang w:val="it-IT"/>
        </w:rPr>
        <w:t>Société de Lecture in Genf</w:t>
      </w:r>
      <w:r w:rsidR="00284564" w:rsidRPr="0087245D">
        <w:rPr>
          <w:rFonts w:asciiTheme="minorBidi" w:hAnsiTheme="minorBidi" w:cstheme="minorBidi"/>
          <w:color w:val="000000"/>
          <w:sz w:val="20"/>
          <w:szCs w:val="20"/>
          <w:lang w:val="it-IT"/>
        </w:rPr>
        <w:t>,</w:t>
      </w:r>
      <w:r w:rsidR="00ED690B" w:rsidRPr="0087245D">
        <w:rPr>
          <w:rFonts w:asciiTheme="minorBidi" w:hAnsiTheme="minorBidi" w:cstheme="minorBidi"/>
          <w:color w:val="000000"/>
          <w:sz w:val="20"/>
          <w:szCs w:val="20"/>
          <w:lang w:val="it-IT"/>
        </w:rPr>
        <w:t xml:space="preserve"> in </w:t>
      </w:r>
      <w:r w:rsidRPr="0087245D">
        <w:rPr>
          <w:rFonts w:asciiTheme="minorBidi" w:hAnsiTheme="minorBidi" w:cstheme="minorBidi"/>
          <w:color w:val="000000"/>
          <w:sz w:val="20"/>
          <w:szCs w:val="20"/>
          <w:lang w:val="it-IT"/>
        </w:rPr>
        <w:t>der K</w:t>
      </w:r>
      <w:r w:rsidR="00ED690B" w:rsidRPr="0087245D">
        <w:rPr>
          <w:rFonts w:asciiTheme="minorBidi" w:hAnsiTheme="minorBidi" w:cstheme="minorBidi"/>
          <w:color w:val="000000"/>
          <w:sz w:val="20"/>
          <w:szCs w:val="20"/>
          <w:lang w:val="it-IT"/>
        </w:rPr>
        <w:t>ategor</w:t>
      </w:r>
      <w:r w:rsidRPr="0087245D">
        <w:rPr>
          <w:rFonts w:asciiTheme="minorBidi" w:hAnsiTheme="minorBidi" w:cstheme="minorBidi"/>
          <w:color w:val="000000"/>
          <w:sz w:val="20"/>
          <w:szCs w:val="20"/>
          <w:lang w:val="it-IT"/>
        </w:rPr>
        <w:t>ie</w:t>
      </w:r>
      <w:r w:rsidR="00284564" w:rsidRPr="0087245D">
        <w:rPr>
          <w:rFonts w:asciiTheme="minorBidi" w:hAnsiTheme="minorBidi" w:cstheme="minorBidi"/>
          <w:color w:val="000000"/>
          <w:sz w:val="20"/>
          <w:szCs w:val="20"/>
          <w:lang w:val="it-IT"/>
        </w:rPr>
        <w:t xml:space="preserve"> </w:t>
      </w:r>
      <w:r w:rsidRPr="0087245D">
        <w:rPr>
          <w:rFonts w:asciiTheme="minorBidi" w:hAnsiTheme="minorBidi" w:cstheme="minorBidi"/>
          <w:color w:val="000000"/>
          <w:sz w:val="20"/>
          <w:szCs w:val="20"/>
          <w:lang w:val="it-IT"/>
        </w:rPr>
        <w:t>“</w:t>
      </w:r>
      <w:r w:rsidR="00ED690B" w:rsidRPr="0087245D">
        <w:rPr>
          <w:rFonts w:asciiTheme="minorBidi" w:hAnsiTheme="minorBidi" w:cstheme="minorBidi"/>
          <w:color w:val="000000"/>
          <w:sz w:val="20"/>
          <w:szCs w:val="20"/>
          <w:lang w:val="it-IT"/>
        </w:rPr>
        <w:t>Ehrenamtliches Engagement</w:t>
      </w:r>
      <w:r w:rsidRPr="0087245D">
        <w:rPr>
          <w:rFonts w:asciiTheme="minorBidi" w:hAnsiTheme="minorBidi" w:cstheme="minorBidi"/>
          <w:color w:val="000000"/>
          <w:sz w:val="20"/>
          <w:szCs w:val="20"/>
          <w:lang w:val="it-IT"/>
        </w:rPr>
        <w:t>”</w:t>
      </w:r>
      <w:r w:rsidR="00284564" w:rsidRPr="0087245D">
        <w:rPr>
          <w:rFonts w:asciiTheme="minorBidi" w:hAnsiTheme="minorBidi" w:cstheme="minorBidi"/>
          <w:color w:val="000000"/>
          <w:sz w:val="20"/>
          <w:szCs w:val="20"/>
          <w:lang w:val="it-IT"/>
        </w:rPr>
        <w:t xml:space="preserve">. </w:t>
      </w:r>
      <w:r w:rsidRPr="0087245D">
        <w:rPr>
          <w:rFonts w:asciiTheme="minorBidi" w:hAnsiTheme="minorBidi" w:cstheme="minorBidi"/>
          <w:color w:val="000000"/>
          <w:sz w:val="20"/>
          <w:lang w:val="it-IT"/>
        </w:rPr>
        <w:t xml:space="preserve">Die öffentliche Verkündigung erfolgte heute durch Europa Nostra, die europäische Stimme der Zivilgesellschaft, die sich dem kulturellen Erbe verschrieben hat. Die Europa Nostra Awards werden für herausragende kulturelle </w:t>
      </w:r>
      <w:r w:rsidR="002C3A11" w:rsidRPr="002C3A11">
        <w:rPr>
          <w:rFonts w:asciiTheme="minorBidi" w:hAnsiTheme="minorBidi" w:cstheme="minorBidi"/>
          <w:color w:val="000000"/>
          <w:sz w:val="20"/>
          <w:lang w:val="it-IT"/>
        </w:rPr>
        <w:t xml:space="preserve">Erfolge </w:t>
      </w:r>
      <w:r w:rsidRPr="0087245D">
        <w:rPr>
          <w:rFonts w:asciiTheme="minorBidi" w:hAnsiTheme="minorBidi" w:cstheme="minorBidi"/>
          <w:color w:val="000000"/>
          <w:sz w:val="20"/>
          <w:lang w:val="it-IT"/>
        </w:rPr>
        <w:t>aus europäischen Ländern verliehen, die nicht am EU-Programm Creative Europe teilnehmen.</w:t>
      </w:r>
    </w:p>
    <w:p w14:paraId="5D0EFA84" w14:textId="77777777" w:rsidR="003D1C97" w:rsidRPr="0087245D" w:rsidRDefault="003D1C97" w:rsidP="00C9796C">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 xml:space="preserve">Der </w:t>
      </w:r>
      <w:r w:rsidRPr="0087245D">
        <w:rPr>
          <w:rFonts w:asciiTheme="minorBidi" w:hAnsiTheme="minorBidi" w:cstheme="minorBidi"/>
          <w:b/>
          <w:bCs/>
          <w:color w:val="000000"/>
          <w:sz w:val="20"/>
          <w:szCs w:val="20"/>
          <w:lang w:val="nl-NL"/>
        </w:rPr>
        <w:t>«Bois de Chênes»</w:t>
      </w:r>
      <w:r w:rsidRPr="0087245D">
        <w:rPr>
          <w:rFonts w:asciiTheme="minorBidi" w:hAnsiTheme="minorBidi" w:cstheme="minorBidi"/>
          <w:color w:val="000000"/>
          <w:sz w:val="20"/>
          <w:szCs w:val="20"/>
          <w:lang w:val="nl-NL"/>
        </w:rPr>
        <w:t xml:space="preserve"> ist eine geschützte natürliche Landschaft und eine bemerkenswert gut erhaltene Kulturstätte. Auf der Gemeinde Genolier liegt ein Herrenhaus aus dem 17. Jahrhundert das einen Bauernhof und seine Nebengebäude beherbergt. Das Sanierungsprojekt wurde von der «</w:t>
      </w:r>
      <w:r w:rsidRPr="0087245D">
        <w:rPr>
          <w:rFonts w:asciiTheme="minorBidi" w:hAnsiTheme="minorBidi" w:cstheme="minorBidi"/>
          <w:b/>
          <w:bCs/>
          <w:color w:val="000000"/>
          <w:sz w:val="20"/>
          <w:szCs w:val="20"/>
          <w:lang w:val="nl-NL"/>
        </w:rPr>
        <w:t>Fondation du Bois de Chênes»</w:t>
      </w:r>
      <w:r w:rsidRPr="0087245D">
        <w:rPr>
          <w:rFonts w:asciiTheme="minorBidi" w:hAnsiTheme="minorBidi" w:cstheme="minorBidi"/>
          <w:color w:val="000000"/>
          <w:sz w:val="20"/>
          <w:szCs w:val="20"/>
          <w:lang w:val="nl-NL"/>
        </w:rPr>
        <w:t xml:space="preserve"> von 2016 bis 2019 durchgeführt und von privaten Stiftungen und Verbänden finanziert, die eng mit dem Naturerbe und dem «Bois de Chênes» verbunden sind. Das Projekt erhielte auch nationale, kantonale und kommunale Unterstützungen.</w:t>
      </w:r>
    </w:p>
    <w:p w14:paraId="22AD90A4" w14:textId="77777777" w:rsidR="003D1C97" w:rsidRPr="0087245D" w:rsidRDefault="003D1C97"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Das Gutshof-Schloss wurde zwischen 1688 und 1694 von Etienne Quisard, Herr von Givrins und Genolier erbaut. Die Bewirtschaftung endete 1960, während das Herrenhaus bewohnt blieb. In den vergangenen Jahren wurden minimale Massnahmen zur Pflege des Eigentums getroffen, jedoch keine der üblichen Modernisierungsfortschritte wurden unternommen. So gelangte das Gutshof-Schloss in einem guten Erhaltungszustand in das neue Jahrhundert und wurde 2016 als denkmalgeschütztes Gebäude eingeordnet. Die Struktur und die Innenräume erlitten jedoch einen bemerkenswerten Rückgang, der durch die negativen Auswirkungen der Feuchtigkeit verstärkt wurde. In den umliegenden Gebäuden und auf dem Dachboden hatten sich auch erhebliche Mengen an Recycling-Material angesammelt. </w:t>
      </w:r>
    </w:p>
    <w:p w14:paraId="7792B2A0" w14:textId="77777777" w:rsidR="003D1C97" w:rsidRPr="0087245D" w:rsidRDefault="003D1C97"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Im Jahr 2010 wurde eine Bewertung des Erhaltungszustandes der Gebäude vorgenommen, gefolgt von mehreren Treffen über ihre Zukunft. Die Sanierung verlieh dem Bau und der natürlichen Umgebung großen Respekt. Ihre Typologie, die verwendeten Materialien und ihre besonderen Eigenschaften wurden besonders berücksichtigt. Die hohe Qualität der Verarbeitung, die für einen Standort dieser historischen Substanz angemessen ist, ist offensichtlich. Nach Möglichkeit wurden nachhaltige Technologien eingesetzt. Die Abwasserentsorgung ist besonders innovativ. Da der Standort aufgrund seiner Nähe zu Wasserquellen, die die umliegenden Dörfer von Genolier versorgen, strengen nationalen Sicherheitsgesetzen unterliegt, wurde ein Reinigungssystem durch Filtration, Kompostierung und Verdunstung unter Verwendung biologischer und natürlicher Ressourcen entwickelt.</w:t>
      </w:r>
    </w:p>
    <w:p w14:paraId="51DB962A" w14:textId="77777777" w:rsidR="003D1C97" w:rsidRPr="0087245D" w:rsidRDefault="003D1C97"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Das Projekt hat das Gutshof-Schloss und seine Nebengebäude für neue Verwendungszwecke geöffnet: in den Gebäuden befinden sich nun ein Empfangs- und Informationszentrum, Ausbildungs-, Bildungs- und Austauschräume sowie zwei Wohnungen für die Verwalter des Standorts. Neben diesen praktischen Anwendungen hat das Projekt die Verbundenheit der lokalen Gemeinschaft am Ort gestärkt; eine erhebliche Zunahme der Besucher ist zu beobachten.</w:t>
      </w:r>
    </w:p>
    <w:p w14:paraId="701CB4C7" w14:textId="6E525CA1" w:rsidR="003D1C97" w:rsidRDefault="003D1C97" w:rsidP="00ED690B">
      <w:pPr>
        <w:pStyle w:val="NormalWeb"/>
        <w:spacing w:before="120" w:beforeAutospacing="0" w:after="0" w:afterAutospacing="0"/>
        <w:jc w:val="both"/>
        <w:rPr>
          <w:rFonts w:asciiTheme="minorBidi" w:hAnsiTheme="minorBidi" w:cstheme="minorBidi"/>
          <w:i/>
          <w:iCs/>
          <w:color w:val="000000"/>
          <w:sz w:val="20"/>
          <w:szCs w:val="20"/>
          <w:lang w:val="nl-NL"/>
        </w:rPr>
      </w:pPr>
      <w:r w:rsidRPr="0087245D">
        <w:rPr>
          <w:rFonts w:asciiTheme="minorBidi" w:hAnsiTheme="minorBidi" w:cstheme="minorBidi"/>
          <w:color w:val="000000"/>
          <w:sz w:val="20"/>
          <w:szCs w:val="20"/>
          <w:lang w:val="nl-NL"/>
        </w:rPr>
        <w:t>Die Jury kam zu dem Schluss, dass "</w:t>
      </w:r>
      <w:r w:rsidRPr="0087245D">
        <w:rPr>
          <w:rFonts w:asciiTheme="minorBidi" w:hAnsiTheme="minorBidi" w:cstheme="minorBidi"/>
          <w:i/>
          <w:iCs/>
          <w:color w:val="000000"/>
          <w:sz w:val="20"/>
          <w:szCs w:val="20"/>
          <w:lang w:val="nl-NL"/>
        </w:rPr>
        <w:t>dieses Projekt eine respektvolle Erhaltung ist, die die Best-Practice-Ansätze des Gebäudes und der umliegenden Landschaft integriert. Die Geschichte der landwirtschaftlichen Tätigkeit des Gutshof-Schlosses, die selbst für die einheimische Architektur dieser Region repräsentativ ist, ist erhalten geblieben. Die gebrauchten Lösungen respektieren die Umwelt mit Verwendung von lokalen Materialien und Solarpaneele zur Energiegewinnung; die Abwasserbehandlung, basierend auf einfachen, praktischen und wirksamen Konzepten, ist eine natürliche Methode für Wasserrecycling. Die Bewirtschaftung des umliegenden Waldes ist auch mit der Bewirtschaftung des Gebäudes verbunden. Schließlich ist das Projekt ein interessantes Beispiel auf einer kleinen Ebene, wo eine öffentlich-private Partnerschaft zur finanziellen Stabilität gegründet wurde".</w:t>
      </w:r>
    </w:p>
    <w:p w14:paraId="7B8A15F1" w14:textId="77777777" w:rsidR="00B07259" w:rsidRDefault="00B07259" w:rsidP="00ED690B">
      <w:pPr>
        <w:pStyle w:val="NormalWeb"/>
        <w:spacing w:before="120" w:beforeAutospacing="0" w:after="0" w:afterAutospacing="0"/>
        <w:jc w:val="both"/>
        <w:rPr>
          <w:rFonts w:asciiTheme="minorBidi" w:hAnsiTheme="minorBidi" w:cstheme="minorBidi"/>
          <w:i/>
          <w:iCs/>
          <w:color w:val="000000"/>
          <w:sz w:val="20"/>
          <w:szCs w:val="20"/>
          <w:lang w:val="nl-NL"/>
        </w:rPr>
      </w:pPr>
    </w:p>
    <w:p w14:paraId="7B78C2A5" w14:textId="77777777" w:rsidR="00B07259" w:rsidRDefault="00B07259" w:rsidP="00ED690B">
      <w:pPr>
        <w:pStyle w:val="NormalWeb"/>
        <w:spacing w:before="120" w:beforeAutospacing="0" w:after="0" w:afterAutospacing="0"/>
        <w:jc w:val="both"/>
        <w:rPr>
          <w:rFonts w:asciiTheme="minorBidi" w:hAnsiTheme="minorBidi" w:cstheme="minorBidi"/>
          <w:i/>
          <w:iCs/>
          <w:color w:val="000000"/>
          <w:sz w:val="20"/>
          <w:szCs w:val="20"/>
          <w:lang w:val="nl-NL"/>
        </w:rPr>
      </w:pPr>
    </w:p>
    <w:p w14:paraId="7EB3DEC5" w14:textId="77777777" w:rsidR="00ED690B" w:rsidRPr="0087245D" w:rsidRDefault="00ED690B"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lastRenderedPageBreak/>
        <w:t xml:space="preserve">Die </w:t>
      </w:r>
      <w:r w:rsidRPr="0087245D">
        <w:rPr>
          <w:rFonts w:asciiTheme="minorBidi" w:hAnsiTheme="minorBidi" w:cstheme="minorBidi"/>
          <w:b/>
          <w:bCs/>
          <w:color w:val="000000"/>
          <w:sz w:val="20"/>
          <w:szCs w:val="20"/>
          <w:lang w:val="nl-NL"/>
        </w:rPr>
        <w:t>Societé de Lecture</w:t>
      </w:r>
      <w:r w:rsidRPr="0087245D">
        <w:rPr>
          <w:rFonts w:asciiTheme="minorBidi" w:hAnsiTheme="minorBidi" w:cstheme="minorBidi"/>
          <w:color w:val="000000"/>
          <w:sz w:val="20"/>
          <w:szCs w:val="20"/>
          <w:lang w:val="nl-NL"/>
        </w:rPr>
        <w:t>, befindet sich im historischen Zentrum von Genf und bietet seinen Mitgliedern eine einzigartige und vielfältige Bibliothek, eine grosse Zahl von Aktivitäten für alle Alterklassen, unter anderem Konferenzen, Vorträge und eine breite Auswahl von Werkstätten. Das historische Gebäude der Societé de Lecture ist ein besonderes Beispiel der Genfer Architektur des 18. Jahrhundert, welches von der Stiftung Societe de Lecture erhalten, gepflegt und, wenn nötig, nach den Regeln des Denkmalschutzes restauriert wird.</w:t>
      </w:r>
    </w:p>
    <w:p w14:paraId="3B899212" w14:textId="77777777" w:rsidR="00ED690B" w:rsidRPr="0087245D" w:rsidRDefault="00ED690B"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 xml:space="preserve">Die Societé de Lecture wurde im Jahr 1818 auf Initiative von Augustin-Pyramus de Candolle zusammen mit einigen bedeutenden Genfer Bürgern, welche auch Mitglieder europäischer Akademien waren, gegründet. Sie folgte damit dem Beispiel anderer Literaturgesellschaften, die in diesem Zeitalter der Aufklärung gegründet worden waren. Ihr ursprüngliches Ziel war dem Mangel an wissenschaftlicher Literatur in der städtischen Bibliothek entgegenzutreten. </w:t>
      </w:r>
    </w:p>
    <w:p w14:paraId="5688E575" w14:textId="2FB167EB" w:rsidR="00ED690B" w:rsidRPr="0087245D" w:rsidRDefault="00ED690B"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Sehr schnell wurde daraus ein Debattierklub, Ort des Austausches von Ideen und Ausbildungsort. In den letzten zwei Jahrhunderten ist die Bibliothek auf einen Bestand von etwas über 400'000 Büchern, mit den Schwerpunkten Wissenschaft, Geschichte, Geographie, Romane, Biographien und Kinderbücher, angewachsen. Daneben stehen den Mitgliedern auch viele verschiedene Zeitschriften zur Verfügung. Neben der Ausleihe können die Mitglieder auch alle vorhandenen Lesesäle in dem historischen Gebäude nutzen.</w:t>
      </w:r>
    </w:p>
    <w:p w14:paraId="4C3B65F8" w14:textId="4CAADC66" w:rsidR="00ED690B" w:rsidRPr="0087245D" w:rsidRDefault="00ED690B"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Die Societé de Lecture ist zu einem europäischen Kulturzentrum geworden. Viele bekannte Persönlichkeiten aus Europa und darüber hinaus haben zu den Konferenzen und Seminaren beigetragen. Zwischen 50 und 70 verschiedene Veranstaltungen werden jedes Jahr organisiert. Verschiedene Literaturwerkstätten, Schachklassen und Märchen Vorträge und andere Aktivitäten für Kinder sind ebenfalls Teil des Bildungsprogramms. Daneben beteiligt sich die Societé de Lecture am europäischen Denkmalschutztag, am Genfer Fest der Musik und anderen lokalen Veranstaltungen.</w:t>
      </w:r>
    </w:p>
    <w:p w14:paraId="23C67CC4" w14:textId="1CB6D142" w:rsidR="00ED690B" w:rsidRPr="0087245D" w:rsidRDefault="00ED690B" w:rsidP="00ED690B">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Gegründet als Ort des Meinungsaustausches einer geistigen, männlichen Elite, ist die Societé de Lecture heute offen für alle, die Mitglied werden wollen. Es ist eine modern Gesellschaft, welche ein Konzept der kulturellen Offenheit verfolgt. Die Führung der Gesellschaft obliegt einem zwölfköpfigem, ehrenamtlichem Vorstand, welcher von den festangestellten Mitarbeitern, zwei Direktorinnen, den Bibliothekaren und dem Konservator der Sammlung, unterstützt wird.</w:t>
      </w:r>
    </w:p>
    <w:p w14:paraId="489D3C7A" w14:textId="0D94264A" w:rsidR="00ED690B" w:rsidRPr="0087245D" w:rsidRDefault="00ED690B" w:rsidP="0087245D">
      <w:pPr>
        <w:pStyle w:val="NormalWeb"/>
        <w:spacing w:before="120" w:beforeAutospacing="0" w:after="0" w:afterAutospacing="0"/>
        <w:jc w:val="both"/>
        <w:rPr>
          <w:rFonts w:asciiTheme="minorBidi" w:hAnsiTheme="minorBidi" w:cstheme="minorBidi"/>
          <w:color w:val="000000"/>
          <w:sz w:val="20"/>
          <w:szCs w:val="20"/>
          <w:lang w:val="nl-NL"/>
        </w:rPr>
      </w:pPr>
      <w:r w:rsidRPr="0087245D">
        <w:rPr>
          <w:rFonts w:asciiTheme="minorBidi" w:hAnsiTheme="minorBidi" w:cstheme="minorBidi"/>
          <w:color w:val="000000"/>
          <w:sz w:val="20"/>
          <w:szCs w:val="20"/>
          <w:lang w:val="nl-NL"/>
        </w:rPr>
        <w:t>«</w:t>
      </w:r>
      <w:r w:rsidRPr="0087245D">
        <w:rPr>
          <w:rFonts w:asciiTheme="minorBidi" w:hAnsiTheme="minorBidi" w:cstheme="minorBidi"/>
          <w:i/>
          <w:iCs/>
          <w:color w:val="000000"/>
          <w:sz w:val="20"/>
          <w:szCs w:val="20"/>
          <w:lang w:val="nl-NL"/>
        </w:rPr>
        <w:t>Diese universelle Bibliothek und Ort der Diskussion besteht seit 200 Jahren ohne Unterbrechung. Während dieser ganzen Zeit ist die Societé de Lecture ihrem ursprünglichem Ziel, ein Versammlungsort für Menschen, die ein Interesse in Literatur, Kunst und Wissenschaft haben, treu geblieben. Sie ist zu einem Zentrum für Repräsentanten der verschiedenen europäischen Kulturen geworden und ihre Aktivitäten vermitteln den Geist von Offenheit und Innovation, Eigenschaften welche weiterhin in ihren Mauern gelebt werden. Der Anteil der Societé de Lecture an der Förderung und Verbreitung der kulturellen Werte in ihren verschiedenen Formen ist anerkannt als ein besonderes Beispiel der Schweizer Mehrsprachigkeit und ist bedeutend in einem grösseren europäischen Zusammenhang.</w:t>
      </w:r>
    </w:p>
    <w:p w14:paraId="7D3ABE93" w14:textId="793BAEE1" w:rsidR="00EE6195" w:rsidRPr="0087245D" w:rsidRDefault="00C9796C" w:rsidP="003D1C97">
      <w:pPr>
        <w:spacing w:before="120"/>
        <w:jc w:val="both"/>
        <w:rPr>
          <w:rFonts w:asciiTheme="minorBidi" w:hAnsiTheme="minorBidi" w:cstheme="minorBidi"/>
          <w:color w:val="002060"/>
          <w:sz w:val="20"/>
          <w:lang w:val="nl-NL"/>
        </w:rPr>
      </w:pPr>
      <w:r w:rsidRPr="0087245D">
        <w:rPr>
          <w:rFonts w:asciiTheme="minorBidi" w:eastAsia="Arial" w:hAnsiTheme="minorBidi" w:cstheme="minorBidi"/>
          <w:color w:val="000000"/>
          <w:sz w:val="20"/>
          <w:lang w:val="nl-NL" w:eastAsia="pt-PT"/>
        </w:rPr>
        <w:t xml:space="preserve">Die Preisverleihungsjury entschied außerdem, den eine herausragende Errungenschaft in der Türkei mit dem </w:t>
      </w:r>
      <w:r w:rsidR="00EE6195" w:rsidRPr="0087245D">
        <w:rPr>
          <w:rFonts w:asciiTheme="minorBidi" w:eastAsia="Arial" w:hAnsiTheme="minorBidi" w:cstheme="minorBidi"/>
          <w:b/>
          <w:color w:val="000000"/>
          <w:sz w:val="20"/>
          <w:lang w:val="nl-NL" w:eastAsia="pt-PT"/>
        </w:rPr>
        <w:t>Europa Nostra Award</w:t>
      </w:r>
      <w:r w:rsidR="00EE6195" w:rsidRPr="0087245D">
        <w:rPr>
          <w:rFonts w:asciiTheme="minorBidi" w:eastAsia="Arial" w:hAnsiTheme="minorBidi" w:cstheme="minorBidi"/>
          <w:color w:val="000000"/>
          <w:sz w:val="20"/>
          <w:lang w:val="nl-NL" w:eastAsia="pt-PT"/>
        </w:rPr>
        <w:t xml:space="preserve"> </w:t>
      </w:r>
      <w:r w:rsidRPr="0087245D">
        <w:rPr>
          <w:rFonts w:asciiTheme="minorBidi" w:eastAsia="Arial" w:hAnsiTheme="minorBidi" w:cstheme="minorBidi"/>
          <w:color w:val="000000"/>
          <w:sz w:val="20"/>
          <w:lang w:val="nl-NL" w:eastAsia="pt-PT"/>
        </w:rPr>
        <w:t>auszuzeichnen:</w:t>
      </w:r>
      <w:r w:rsidR="0008503A" w:rsidRPr="0087245D">
        <w:rPr>
          <w:rFonts w:asciiTheme="minorBidi" w:eastAsia="Arial" w:hAnsiTheme="minorBidi" w:cstheme="minorBidi"/>
          <w:color w:val="000000"/>
          <w:sz w:val="20"/>
          <w:lang w:val="nl-NL" w:eastAsia="pt-PT"/>
        </w:rPr>
        <w:t xml:space="preserve"> </w:t>
      </w:r>
      <w:r w:rsidR="0008503A" w:rsidRPr="0087245D">
        <w:rPr>
          <w:rFonts w:asciiTheme="minorBidi" w:hAnsiTheme="minorBidi" w:cstheme="minorBidi"/>
          <w:b/>
          <w:sz w:val="20"/>
          <w:lang w:val="nl-NL"/>
        </w:rPr>
        <w:t xml:space="preserve">SARAT </w:t>
      </w:r>
      <w:r w:rsidRPr="0087245D">
        <w:rPr>
          <w:rFonts w:asciiTheme="minorBidi" w:hAnsiTheme="minorBidi" w:cstheme="minorBidi"/>
          <w:b/>
          <w:sz w:val="20"/>
          <w:lang w:val="nl-NL"/>
        </w:rPr>
        <w:t>(</w:t>
      </w:r>
      <w:r w:rsidR="0008503A" w:rsidRPr="0087245D">
        <w:rPr>
          <w:rFonts w:asciiTheme="minorBidi" w:hAnsiTheme="minorBidi" w:cstheme="minorBidi"/>
          <w:b/>
          <w:sz w:val="20"/>
          <w:lang w:val="nl-NL"/>
        </w:rPr>
        <w:t>Safeguarding Archaeological Assets of Turkey</w:t>
      </w:r>
      <w:r w:rsidRPr="0087245D">
        <w:rPr>
          <w:rFonts w:asciiTheme="minorBidi" w:hAnsiTheme="minorBidi" w:cstheme="minorBidi"/>
          <w:b/>
          <w:sz w:val="20"/>
          <w:lang w:val="nl-NL"/>
        </w:rPr>
        <w:t>//Zum Schutz des Archäologischen Erbes der Türkei)</w:t>
      </w:r>
      <w:r w:rsidR="0008503A" w:rsidRPr="0087245D">
        <w:rPr>
          <w:rFonts w:asciiTheme="minorBidi" w:hAnsiTheme="minorBidi" w:cstheme="minorBidi"/>
          <w:color w:val="000000" w:themeColor="text1"/>
          <w:spacing w:val="-2"/>
          <w:sz w:val="20"/>
          <w:lang w:val="nl-NL"/>
        </w:rPr>
        <w:t xml:space="preserve"> </w:t>
      </w:r>
      <w:r w:rsidRPr="0087245D">
        <w:rPr>
          <w:rFonts w:asciiTheme="minorBidi" w:hAnsiTheme="minorBidi" w:cstheme="minorBidi"/>
          <w:color w:val="000000" w:themeColor="text1"/>
          <w:spacing w:val="-2"/>
          <w:sz w:val="20"/>
          <w:lang w:val="nl-NL"/>
        </w:rPr>
        <w:t>in der</w:t>
      </w:r>
      <w:r w:rsidRPr="0087245D">
        <w:rPr>
          <w:rFonts w:asciiTheme="minorBidi" w:hAnsiTheme="minorBidi" w:cstheme="minorBidi"/>
          <w:sz w:val="20"/>
          <w:lang w:val="nl-NL"/>
        </w:rPr>
        <w:t xml:space="preserve"> K</w:t>
      </w:r>
      <w:r w:rsidR="0008503A" w:rsidRPr="0087245D">
        <w:rPr>
          <w:rFonts w:asciiTheme="minorBidi" w:hAnsiTheme="minorBidi" w:cstheme="minorBidi"/>
          <w:sz w:val="20"/>
          <w:lang w:val="nl-NL"/>
        </w:rPr>
        <w:t>ategor</w:t>
      </w:r>
      <w:r w:rsidRPr="0087245D">
        <w:rPr>
          <w:rFonts w:asciiTheme="minorBidi" w:hAnsiTheme="minorBidi" w:cstheme="minorBidi"/>
          <w:sz w:val="20"/>
          <w:lang w:val="nl-NL"/>
        </w:rPr>
        <w:t>ie “</w:t>
      </w:r>
      <w:r w:rsidR="003D1C97" w:rsidRPr="0087245D">
        <w:rPr>
          <w:rFonts w:asciiTheme="minorBidi" w:hAnsiTheme="minorBidi" w:cstheme="minorBidi"/>
          <w:sz w:val="20"/>
          <w:lang w:val="nl-NL"/>
        </w:rPr>
        <w:t>Bildung, Ausbildung und Bewusstseinsbildung</w:t>
      </w:r>
      <w:r w:rsidRPr="0087245D">
        <w:rPr>
          <w:rFonts w:asciiTheme="minorBidi" w:eastAsia="Arial" w:hAnsiTheme="minorBidi" w:cstheme="minorBidi"/>
          <w:color w:val="000000"/>
          <w:sz w:val="20"/>
          <w:lang w:val="nl-NL" w:eastAsia="pt-PT"/>
        </w:rPr>
        <w:t>”.</w:t>
      </w:r>
    </w:p>
    <w:p w14:paraId="25EB5205" w14:textId="4189C787" w:rsidR="00C9796C" w:rsidRPr="00D639FF" w:rsidRDefault="00C9796C" w:rsidP="00C9796C">
      <w:pPr>
        <w:suppressAutoHyphens/>
        <w:spacing w:before="120"/>
        <w:jc w:val="both"/>
        <w:rPr>
          <w:rFonts w:asciiTheme="minorBidi" w:hAnsiTheme="minorBidi" w:cstheme="minorBidi"/>
          <w:bCs/>
          <w:color w:val="000000" w:themeColor="text1"/>
          <w:spacing w:val="-2"/>
          <w:sz w:val="20"/>
          <w:lang w:val="nl-NL"/>
        </w:rPr>
      </w:pPr>
      <w:r w:rsidRPr="0087245D">
        <w:rPr>
          <w:rFonts w:asciiTheme="minorBidi" w:hAnsiTheme="minorBidi" w:cstheme="minorBidi"/>
          <w:bCs/>
          <w:color w:val="000000" w:themeColor="text1"/>
          <w:spacing w:val="-2"/>
          <w:sz w:val="20"/>
          <w:lang w:val="nl-NL"/>
        </w:rPr>
        <w:t xml:space="preserve">Ebenfalls heute bekannt gegeben wurden die Gewinner der </w:t>
      </w:r>
      <w:hyperlink r:id="rId9" w:history="1">
        <w:r w:rsidRPr="0087245D">
          <w:rPr>
            <w:rStyle w:val="Hyperlink"/>
            <w:rFonts w:asciiTheme="minorBidi" w:hAnsiTheme="minorBidi" w:cstheme="minorBidi"/>
            <w:b/>
            <w:sz w:val="20"/>
            <w:lang w:val="nl-NL"/>
          </w:rPr>
          <w:t>European Heritage Awards / Europa Nostra Awards 2020</w:t>
        </w:r>
      </w:hyperlink>
      <w:r w:rsidRPr="0087245D">
        <w:rPr>
          <w:rFonts w:asciiTheme="minorBidi" w:hAnsiTheme="minorBidi" w:cstheme="minorBidi"/>
          <w:bCs/>
          <w:color w:val="000000" w:themeColor="text1"/>
          <w:spacing w:val="-2"/>
          <w:sz w:val="20"/>
          <w:lang w:val="nl-NL"/>
        </w:rPr>
        <w:t>. Diese werden an Projekte in europäischen Ländern verliehen, die am Creative Europe Program der EU teilnehmen.</w:t>
      </w:r>
    </w:p>
    <w:p w14:paraId="20576284" w14:textId="25FC9732" w:rsidR="003D1C97" w:rsidRPr="003D1C97" w:rsidRDefault="003D1C97" w:rsidP="003D1C97">
      <w:pPr>
        <w:suppressAutoHyphens/>
        <w:spacing w:before="120"/>
        <w:jc w:val="both"/>
        <w:rPr>
          <w:color w:val="000000"/>
          <w:sz w:val="20"/>
          <w:lang w:val="de-DE"/>
        </w:rPr>
      </w:pPr>
      <w:r w:rsidRPr="00251A47">
        <w:rPr>
          <w:color w:val="000000"/>
          <w:sz w:val="20"/>
          <w:lang w:val="de-DE"/>
        </w:rPr>
        <w:t xml:space="preserve">Die Preisträger wurden von </w:t>
      </w:r>
      <w:r>
        <w:rPr>
          <w:color w:val="000000"/>
          <w:sz w:val="20"/>
          <w:lang w:val="de-DE"/>
        </w:rPr>
        <w:t xml:space="preserve">einer </w:t>
      </w:r>
      <w:r w:rsidRPr="00B93726">
        <w:rPr>
          <w:color w:val="000000"/>
          <w:sz w:val="20"/>
          <w:lang w:val="de-DE"/>
        </w:rPr>
        <w:t xml:space="preserve">unabhängigen </w:t>
      </w:r>
      <w:r w:rsidR="00B07259">
        <w:rPr>
          <w:color w:val="0000FF"/>
          <w:sz w:val="20"/>
          <w:u w:val="single"/>
          <w:lang w:val="de-DE"/>
        </w:rPr>
        <w:fldChar w:fldCharType="begin"/>
      </w:r>
      <w:r w:rsidR="00B07259">
        <w:rPr>
          <w:color w:val="0000FF"/>
          <w:sz w:val="20"/>
          <w:u w:val="single"/>
          <w:lang w:val="de-DE"/>
        </w:rPr>
        <w:instrText xml:space="preserve"> HYPERLINK "http://www.europeanheritageawards.eu/jury/" </w:instrText>
      </w:r>
      <w:r w:rsidR="00B07259">
        <w:rPr>
          <w:color w:val="0000FF"/>
          <w:sz w:val="20"/>
          <w:u w:val="single"/>
          <w:lang w:val="de-DE"/>
        </w:rPr>
        <w:fldChar w:fldCharType="separate"/>
      </w:r>
      <w:r w:rsidRPr="00B07259">
        <w:rPr>
          <w:rStyle w:val="Hyperlink"/>
          <w:sz w:val="20"/>
          <w:lang w:val="de-DE"/>
        </w:rPr>
        <w:t>Ju</w:t>
      </w:r>
      <w:hyperlink r:id="rId10" w:history="1">
        <w:r w:rsidRPr="00B07259">
          <w:rPr>
            <w:rStyle w:val="Hyperlink"/>
            <w:sz w:val="20"/>
            <w:lang w:val="de-DE"/>
          </w:rPr>
          <w:t>r</w:t>
        </w:r>
      </w:hyperlink>
      <w:r w:rsidRPr="00B07259">
        <w:rPr>
          <w:rStyle w:val="Hyperlink"/>
          <w:sz w:val="20"/>
          <w:lang w:val="de-DE"/>
        </w:rPr>
        <w:t>y</w:t>
      </w:r>
      <w:r w:rsidR="00B07259">
        <w:rPr>
          <w:color w:val="0000FF"/>
          <w:sz w:val="20"/>
          <w:u w:val="single"/>
          <w:lang w:val="de-DE"/>
        </w:rPr>
        <w:fldChar w:fldCharType="end"/>
      </w:r>
      <w:r w:rsidR="00B07259">
        <w:rPr>
          <w:color w:val="000000"/>
          <w:sz w:val="20"/>
          <w:lang w:val="de-DE"/>
        </w:rPr>
        <w:t xml:space="preserve">, </w:t>
      </w:r>
      <w:r w:rsidRPr="00B93726">
        <w:rPr>
          <w:color w:val="000000"/>
          <w:sz w:val="20"/>
          <w:lang w:val="de-DE"/>
        </w:rPr>
        <w:t>die sich</w:t>
      </w:r>
      <w:r w:rsidRPr="00251A47">
        <w:rPr>
          <w:color w:val="000000"/>
          <w:sz w:val="20"/>
          <w:lang w:val="de-DE"/>
        </w:rPr>
        <w:t xml:space="preserve"> aus Kulturerbe-Experten aus ganz Europa zusammensetzten</w:t>
      </w:r>
      <w:r>
        <w:rPr>
          <w:color w:val="000000"/>
          <w:sz w:val="20"/>
          <w:lang w:val="de-DE"/>
        </w:rPr>
        <w:t>,</w:t>
      </w:r>
      <w:r w:rsidRPr="00251A47">
        <w:rPr>
          <w:color w:val="000000"/>
          <w:sz w:val="20"/>
          <w:lang w:val="de-DE"/>
        </w:rPr>
        <w:t xml:space="preserve"> ausgewählt. Dem voraus ging eine gründliche Bewertung der von Organisationen und Einzelpersonen aus 30 europäischen Ländern eingereichten Bewerbungen</w:t>
      </w:r>
      <w:r>
        <w:rPr>
          <w:color w:val="000000"/>
          <w:sz w:val="20"/>
          <w:lang w:val="de-DE"/>
        </w:rPr>
        <w:t>.</w:t>
      </w:r>
    </w:p>
    <w:p w14:paraId="6CD315C2" w14:textId="079DE454" w:rsidR="00C21453" w:rsidRPr="003D1C97" w:rsidRDefault="003D1C97" w:rsidP="003D1C97">
      <w:pPr>
        <w:spacing w:before="120"/>
        <w:jc w:val="both"/>
        <w:rPr>
          <w:color w:val="000000"/>
          <w:sz w:val="20"/>
          <w:lang w:val="de-DE"/>
        </w:rPr>
      </w:pPr>
      <w:r w:rsidRPr="00EA347D">
        <w:rPr>
          <w:color w:val="000000"/>
          <w:sz w:val="20"/>
          <w:lang w:val="de-DE"/>
        </w:rPr>
        <w:t>In diesen schwierigen Zeiten sind unsere Preisträger mit ihren Erfolgsgeschichten wahre Hoffnung</w:t>
      </w:r>
      <w:r>
        <w:rPr>
          <w:color w:val="000000"/>
          <w:sz w:val="20"/>
          <w:lang w:val="de-DE"/>
        </w:rPr>
        <w:t>sbringer</w:t>
      </w:r>
      <w:r w:rsidRPr="00EA347D">
        <w:rPr>
          <w:color w:val="000000"/>
          <w:sz w:val="20"/>
          <w:lang w:val="de-DE"/>
        </w:rPr>
        <w:t xml:space="preserve">, sie haben Widrigkeiten durch Fachwissen, Engagement und Teamarbeit überwunden. Diese beispielhaften preisgekrönten Projekte zeigen, dass das kulturelle Erbe für unsere geistige und körperliche Genesung von dem durch die Pandemie verursachten Trauma von entscheidender Bedeutung ist. Unser gemeinsames Erbe und seine Bewahrer können auf so vielfältige Weise dazu beitragen: von der Zugänglichmachung kultureller Inhalte über kreative digitale Lösungen bis hin zu konkreten Restaurierungs- und Sanierungsarbeiten als Akt der sozialen und wirtschaftlichen Wiedergeburt unserer Städte und Dörfer", erklärte </w:t>
      </w:r>
      <w:r w:rsidRPr="00EA347D">
        <w:rPr>
          <w:b/>
          <w:color w:val="000000"/>
          <w:sz w:val="20"/>
          <w:lang w:val="de-DE"/>
        </w:rPr>
        <w:t>Hermann Parzinger</w:t>
      </w:r>
      <w:r w:rsidRPr="00EA347D">
        <w:rPr>
          <w:color w:val="000000"/>
          <w:sz w:val="20"/>
          <w:lang w:val="de-DE"/>
        </w:rPr>
        <w:t>, Exekutivpräsident von Europa Nostra.</w:t>
      </w:r>
    </w:p>
    <w:p w14:paraId="32D73119" w14:textId="4B6F475A" w:rsidR="003D1C97" w:rsidRPr="00B07259" w:rsidRDefault="003D1C97" w:rsidP="003D1C97">
      <w:pPr>
        <w:suppressAutoHyphens/>
        <w:spacing w:before="120"/>
        <w:jc w:val="both"/>
        <w:rPr>
          <w:b/>
          <w:color w:val="000000"/>
          <w:sz w:val="20"/>
          <w:lang w:val="de-DE"/>
        </w:rPr>
      </w:pPr>
      <w:r w:rsidRPr="00EA347D">
        <w:rPr>
          <w:color w:val="000000"/>
          <w:sz w:val="20"/>
          <w:lang w:val="de-DE"/>
        </w:rPr>
        <w:t xml:space="preserve">Denkmalliebhaber und Förderer des Kulturerbes aus Europa und der ganzen Welt können online </w:t>
      </w:r>
      <w:r w:rsidR="00C5626D">
        <w:fldChar w:fldCharType="begin"/>
      </w:r>
      <w:r w:rsidR="00C5626D" w:rsidRPr="00B07259">
        <w:rPr>
          <w:lang w:val="de-DE"/>
        </w:rPr>
        <w:instrText xml:space="preserve"> HYPERLINK "http://vote.europanostra.org/" \h </w:instrText>
      </w:r>
      <w:r w:rsidR="00C5626D">
        <w:fldChar w:fldCharType="separate"/>
      </w:r>
      <w:r w:rsidRPr="00251A47">
        <w:rPr>
          <w:color w:val="0000FF"/>
          <w:sz w:val="20"/>
          <w:lang w:val="de-DE"/>
        </w:rPr>
        <w:t>(wählen Sie online</w:t>
      </w:r>
      <w:r w:rsidR="00C5626D">
        <w:rPr>
          <w:color w:val="0000FF"/>
          <w:sz w:val="20"/>
          <w:lang w:val="de-DE"/>
        </w:rPr>
        <w:fldChar w:fldCharType="end"/>
      </w:r>
      <w:r w:rsidRPr="00251A47">
        <w:rPr>
          <w:color w:val="0000FF"/>
          <w:sz w:val="20"/>
          <w:lang w:val="de-DE"/>
        </w:rPr>
        <w:t>)</w:t>
      </w:r>
      <w:r w:rsidRPr="00EA347D">
        <w:rPr>
          <w:color w:val="000000"/>
          <w:sz w:val="20"/>
          <w:lang w:val="de-DE"/>
        </w:rPr>
        <w:t xml:space="preserve"> für ihre </w:t>
      </w:r>
      <w:r>
        <w:rPr>
          <w:color w:val="000000"/>
          <w:sz w:val="20"/>
          <w:lang w:val="de-DE"/>
        </w:rPr>
        <w:t>P</w:t>
      </w:r>
      <w:r w:rsidRPr="00EA347D">
        <w:rPr>
          <w:color w:val="000000"/>
          <w:sz w:val="20"/>
          <w:lang w:val="de-DE"/>
        </w:rPr>
        <w:t>reisträger abstimmen und entscheiden, welche</w:t>
      </w:r>
      <w:r>
        <w:rPr>
          <w:color w:val="000000"/>
          <w:sz w:val="20"/>
          <w:lang w:val="de-DE"/>
        </w:rPr>
        <w:t>r</w:t>
      </w:r>
      <w:r w:rsidRPr="00EA347D">
        <w:rPr>
          <w:color w:val="000000"/>
          <w:sz w:val="20"/>
          <w:lang w:val="de-DE"/>
        </w:rPr>
        <w:t xml:space="preserve"> </w:t>
      </w:r>
      <w:r>
        <w:rPr>
          <w:color w:val="000000"/>
          <w:sz w:val="20"/>
          <w:lang w:val="de-DE"/>
        </w:rPr>
        <w:t xml:space="preserve">Antrag </w:t>
      </w:r>
      <w:r w:rsidRPr="00EA347D">
        <w:rPr>
          <w:color w:val="000000"/>
          <w:sz w:val="20"/>
          <w:lang w:val="de-DE"/>
        </w:rPr>
        <w:t xml:space="preserve">den diesjährigen </w:t>
      </w:r>
      <w:r w:rsidRPr="00EA347D">
        <w:rPr>
          <w:b/>
          <w:color w:val="000000"/>
          <w:sz w:val="20"/>
          <w:lang w:val="de-DE"/>
        </w:rPr>
        <w:t xml:space="preserve">Publikumspreis </w:t>
      </w:r>
      <w:r w:rsidRPr="00EA347D">
        <w:rPr>
          <w:color w:val="000000"/>
          <w:sz w:val="20"/>
          <w:lang w:val="de-DE"/>
        </w:rPr>
        <w:t>gewinnen wird. In Zeiten der Enge und der räumlichen Distanz hoffen die Europäische Kommission und Europa Nostra, besonders viele Menschen dazu zu</w:t>
      </w:r>
      <w:r>
        <w:rPr>
          <w:color w:val="000000"/>
          <w:sz w:val="20"/>
          <w:lang w:val="de-DE"/>
        </w:rPr>
        <w:t xml:space="preserve"> </w:t>
      </w:r>
      <w:r w:rsidRPr="00EA347D">
        <w:rPr>
          <w:color w:val="000000"/>
          <w:sz w:val="20"/>
          <w:lang w:val="de-DE"/>
        </w:rPr>
        <w:t xml:space="preserve">bewegen, die diesjährigen preisgekrönten Leistungen zu würdigen und drei Publikumslieblinge zu benennen.  </w:t>
      </w:r>
      <w:r w:rsidRPr="00771636">
        <w:rPr>
          <w:b/>
          <w:color w:val="000000"/>
          <w:sz w:val="20"/>
          <w:lang w:val="de-DE"/>
        </w:rPr>
        <w:t>Der Publikumspreis wird nach dem Sommer bekannt gegeben.</w:t>
      </w:r>
    </w:p>
    <w:p w14:paraId="28DB0D5F" w14:textId="6D083CA2" w:rsidR="00C3696A" w:rsidRDefault="003D1C97" w:rsidP="003D1C97">
      <w:pPr>
        <w:spacing w:before="120"/>
        <w:jc w:val="both"/>
        <w:rPr>
          <w:rFonts w:eastAsia="MS Mincho"/>
          <w:b/>
          <w:color w:val="000000"/>
          <w:spacing w:val="-2"/>
          <w:sz w:val="20"/>
          <w:lang w:val="de-DE" w:eastAsia="ja-JP"/>
        </w:rPr>
      </w:pPr>
      <w:r w:rsidRPr="00850321">
        <w:rPr>
          <w:rFonts w:eastAsia="MS Mincho"/>
          <w:b/>
          <w:color w:val="000000"/>
          <w:spacing w:val="-2"/>
          <w:sz w:val="20"/>
          <w:lang w:val="de-DE" w:eastAsia="ja-JP"/>
        </w:rPr>
        <w:t xml:space="preserve">Der Aufruf zur Einreichung von Beiträgen für die Preisverleihung im Jahr 2021 ist jetzt eröffnet, und die Bewerbungsformulare sind auf der </w:t>
      </w:r>
      <w:r w:rsidR="00B07259">
        <w:fldChar w:fldCharType="begin"/>
      </w:r>
      <w:r w:rsidR="00B07259" w:rsidRPr="00B07259">
        <w:rPr>
          <w:lang w:val="de-DE"/>
        </w:rPr>
        <w:instrText xml:space="preserve"> HYPERLINK "http://www.europeanheritageawards.eu/" </w:instrText>
      </w:r>
      <w:r w:rsidR="00B07259">
        <w:fldChar w:fldCharType="separate"/>
      </w:r>
      <w:r w:rsidR="00B07259" w:rsidRPr="00B07259">
        <w:rPr>
          <w:rStyle w:val="Hyperlink"/>
          <w:b/>
          <w:bCs/>
          <w:sz w:val="20"/>
          <w:lang w:val="de-DE"/>
        </w:rPr>
        <w:t>Website</w:t>
      </w:r>
      <w:r w:rsidR="00B07259">
        <w:rPr>
          <w:rStyle w:val="Hyperlink"/>
          <w:b/>
          <w:bCs/>
          <w:sz w:val="20"/>
        </w:rPr>
        <w:fldChar w:fldCharType="end"/>
      </w:r>
      <w:r w:rsidRPr="00850321">
        <w:rPr>
          <w:rFonts w:eastAsia="MS Mincho"/>
          <w:b/>
          <w:color w:val="000000"/>
          <w:spacing w:val="-2"/>
          <w:sz w:val="20"/>
          <w:lang w:val="de-DE" w:eastAsia="ja-JP"/>
        </w:rPr>
        <w:t xml:space="preserve"> der Preisverleihung verfügbar. Reichen Sie Ihren Antrag ein und teilen Sie Ihr Fachwissen und Ihren Erfolg!</w:t>
      </w:r>
    </w:p>
    <w:p w14:paraId="6255FE92" w14:textId="77777777" w:rsidR="00B07259" w:rsidRDefault="00B07259" w:rsidP="003D1C97">
      <w:pPr>
        <w:spacing w:before="120"/>
        <w:jc w:val="both"/>
        <w:rPr>
          <w:rFonts w:eastAsia="MS Mincho"/>
          <w:b/>
          <w:color w:val="000000"/>
          <w:spacing w:val="-2"/>
          <w:sz w:val="20"/>
          <w:lang w:val="de-DE" w:eastAsia="ja-JP"/>
        </w:rPr>
      </w:pPr>
    </w:p>
    <w:tbl>
      <w:tblPr>
        <w:tblW w:w="10511" w:type="dxa"/>
        <w:tblLayout w:type="fixed"/>
        <w:tblCellMar>
          <w:left w:w="180" w:type="dxa"/>
          <w:right w:w="180" w:type="dxa"/>
        </w:tblCellMar>
        <w:tblLook w:val="0000" w:firstRow="0" w:lastRow="0" w:firstColumn="0" w:lastColumn="0" w:noHBand="0" w:noVBand="0"/>
      </w:tblPr>
      <w:tblGrid>
        <w:gridCol w:w="5400"/>
        <w:gridCol w:w="5111"/>
      </w:tblGrid>
      <w:tr w:rsidR="003D1C97" w:rsidRPr="00B07259" w14:paraId="5E9A3411" w14:textId="77777777" w:rsidTr="00B07259">
        <w:trPr>
          <w:trHeight w:val="3836"/>
        </w:trPr>
        <w:tc>
          <w:tcPr>
            <w:tcW w:w="5400" w:type="dxa"/>
            <w:tcBorders>
              <w:top w:val="nil"/>
              <w:left w:val="nil"/>
              <w:bottom w:val="nil"/>
              <w:right w:val="nil"/>
            </w:tcBorders>
          </w:tcPr>
          <w:p w14:paraId="26DE81CD" w14:textId="77777777" w:rsidR="003D1C97" w:rsidRPr="00771636" w:rsidRDefault="003D1C97" w:rsidP="003D1C97">
            <w:pPr>
              <w:ind w:left="-108"/>
              <w:jc w:val="both"/>
              <w:rPr>
                <w:b/>
                <w:color w:val="000000"/>
                <w:sz w:val="20"/>
                <w:lang w:val="de-DE"/>
              </w:rPr>
            </w:pPr>
            <w:r w:rsidRPr="00771636">
              <w:rPr>
                <w:b/>
                <w:color w:val="000000"/>
                <w:sz w:val="20"/>
                <w:lang w:val="de-DE"/>
              </w:rPr>
              <w:t>KONTAKTPERSONEN</w:t>
            </w:r>
          </w:p>
          <w:p w14:paraId="41265F21" w14:textId="77777777" w:rsidR="003D1C97" w:rsidRPr="00771636" w:rsidRDefault="003D1C97" w:rsidP="003D1C97">
            <w:pPr>
              <w:ind w:left="-108"/>
              <w:jc w:val="both"/>
              <w:rPr>
                <w:b/>
                <w:color w:val="000000"/>
                <w:sz w:val="20"/>
                <w:lang w:val="de-DE"/>
              </w:rPr>
            </w:pPr>
          </w:p>
          <w:p w14:paraId="781C3DAA" w14:textId="77777777" w:rsidR="003D1C97" w:rsidRPr="00771636" w:rsidRDefault="003D1C97" w:rsidP="003D1C97">
            <w:pPr>
              <w:ind w:left="-108"/>
              <w:jc w:val="both"/>
              <w:rPr>
                <w:b/>
                <w:color w:val="000000"/>
                <w:sz w:val="20"/>
                <w:lang w:val="de-DE"/>
              </w:rPr>
            </w:pPr>
            <w:r w:rsidRPr="00771636">
              <w:rPr>
                <w:b/>
                <w:sz w:val="20"/>
                <w:lang w:val="de-DE"/>
              </w:rPr>
              <w:t>Europa Nostra</w:t>
            </w:r>
          </w:p>
          <w:p w14:paraId="6E76AA4D" w14:textId="53C12E87" w:rsidR="003D1C97" w:rsidRPr="00771636" w:rsidRDefault="003D1C97" w:rsidP="003D1C97">
            <w:pPr>
              <w:ind w:left="-108"/>
              <w:rPr>
                <w:color w:val="000000"/>
                <w:sz w:val="20"/>
                <w:lang w:val="de-DE"/>
              </w:rPr>
            </w:pPr>
            <w:r w:rsidRPr="00771636">
              <w:rPr>
                <w:color w:val="000000"/>
                <w:sz w:val="20"/>
                <w:lang w:val="de-DE"/>
              </w:rPr>
              <w:t>Audrey Hogan, Programmes Officer</w:t>
            </w:r>
            <w:r w:rsidRPr="00771636">
              <w:rPr>
                <w:color w:val="000000"/>
                <w:sz w:val="20"/>
                <w:lang w:val="de-DE"/>
              </w:rPr>
              <w:br/>
            </w:r>
            <w:r w:rsidRPr="00B07259">
              <w:rPr>
                <w:sz w:val="20"/>
                <w:lang w:val="de-DE"/>
              </w:rPr>
              <w:t>ah@europanostra.org</w:t>
            </w:r>
            <w:r w:rsidRPr="00771636">
              <w:rPr>
                <w:color w:val="000000"/>
                <w:sz w:val="20"/>
                <w:lang w:val="de-DE"/>
              </w:rPr>
              <w:t xml:space="preserve">, </w:t>
            </w:r>
          </w:p>
          <w:p w14:paraId="59703C70" w14:textId="77777777" w:rsidR="003D1C97" w:rsidRPr="00771636" w:rsidRDefault="003D1C97" w:rsidP="003D1C97">
            <w:pPr>
              <w:ind w:left="-108"/>
              <w:jc w:val="both"/>
              <w:rPr>
                <w:smallCaps/>
                <w:sz w:val="20"/>
                <w:lang w:val="de-DE"/>
              </w:rPr>
            </w:pPr>
            <w:r w:rsidRPr="00771636">
              <w:rPr>
                <w:sz w:val="20"/>
                <w:lang w:val="de-DE"/>
              </w:rPr>
              <w:t>T. +</w:t>
            </w:r>
            <w:r w:rsidRPr="00771636">
              <w:rPr>
                <w:smallCaps/>
                <w:sz w:val="20"/>
                <w:lang w:val="de-DE"/>
              </w:rPr>
              <w:t xml:space="preserve">31 70 302 40 52;  M. </w:t>
            </w:r>
            <w:r w:rsidRPr="00771636">
              <w:rPr>
                <w:sz w:val="20"/>
                <w:lang w:val="de-DE"/>
              </w:rPr>
              <w:t>+</w:t>
            </w:r>
            <w:r w:rsidRPr="00771636">
              <w:rPr>
                <w:smallCaps/>
                <w:sz w:val="20"/>
                <w:lang w:val="de-DE"/>
              </w:rPr>
              <w:t xml:space="preserve">31 63 1 17 84 55 </w:t>
            </w:r>
          </w:p>
          <w:p w14:paraId="41CB8741" w14:textId="77777777" w:rsidR="003D1C97" w:rsidRPr="00771636" w:rsidRDefault="003D1C97" w:rsidP="003D1C97">
            <w:pPr>
              <w:ind w:left="-108"/>
              <w:rPr>
                <w:color w:val="000000"/>
                <w:sz w:val="20"/>
                <w:lang w:val="de-DE"/>
              </w:rPr>
            </w:pPr>
            <w:r w:rsidRPr="00771636">
              <w:rPr>
                <w:color w:val="000000"/>
                <w:sz w:val="20"/>
                <w:lang w:val="de-DE"/>
              </w:rPr>
              <w:t>Joana Pinheiro, Communications Coordinator</w:t>
            </w:r>
          </w:p>
          <w:p w14:paraId="13694ACB" w14:textId="3E4585A4" w:rsidR="00B07259" w:rsidRPr="00771636" w:rsidRDefault="00B07259" w:rsidP="00B07259">
            <w:pPr>
              <w:ind w:left="-108"/>
              <w:rPr>
                <w:color w:val="000000"/>
                <w:sz w:val="20"/>
                <w:lang w:val="de-DE"/>
              </w:rPr>
            </w:pPr>
            <w:r>
              <w:rPr>
                <w:sz w:val="20"/>
                <w:lang w:val="de-DE"/>
              </w:rPr>
              <w:t>jp</w:t>
            </w:r>
            <w:r w:rsidRPr="00B07259">
              <w:rPr>
                <w:sz w:val="20"/>
                <w:lang w:val="de-DE"/>
              </w:rPr>
              <w:t>@europanostra.org</w:t>
            </w:r>
          </w:p>
          <w:p w14:paraId="3810980A" w14:textId="77777777" w:rsidR="003D1C97" w:rsidRPr="00771636" w:rsidRDefault="003D1C97" w:rsidP="003D1C97">
            <w:pPr>
              <w:ind w:left="-108"/>
              <w:jc w:val="both"/>
              <w:rPr>
                <w:smallCaps/>
                <w:sz w:val="20"/>
                <w:lang w:val="de-DE"/>
              </w:rPr>
            </w:pPr>
            <w:r w:rsidRPr="00771636">
              <w:rPr>
                <w:smallCaps/>
                <w:sz w:val="20"/>
                <w:lang w:val="de-DE"/>
              </w:rPr>
              <w:t xml:space="preserve">M. </w:t>
            </w:r>
            <w:r w:rsidRPr="00771636">
              <w:rPr>
                <w:sz w:val="20"/>
                <w:lang w:val="de-DE"/>
              </w:rPr>
              <w:t>+</w:t>
            </w:r>
            <w:r w:rsidRPr="00771636">
              <w:rPr>
                <w:smallCaps/>
                <w:sz w:val="20"/>
                <w:lang w:val="de-DE"/>
              </w:rPr>
              <w:t>31 6 34 36 59 85</w:t>
            </w:r>
          </w:p>
          <w:p w14:paraId="378D0B0C" w14:textId="77777777" w:rsidR="003D1C97" w:rsidRPr="0087245D" w:rsidRDefault="003D1C97" w:rsidP="003D1C97">
            <w:pPr>
              <w:ind w:left="-108"/>
              <w:jc w:val="both"/>
              <w:rPr>
                <w:b/>
                <w:bCs/>
                <w:sz w:val="20"/>
                <w:lang w:val="it-IT"/>
              </w:rPr>
            </w:pPr>
            <w:r w:rsidRPr="0087245D">
              <w:rPr>
                <w:b/>
                <w:bCs/>
                <w:sz w:val="20"/>
                <w:lang w:val="it-IT"/>
              </w:rPr>
              <w:t xml:space="preserve">Das Gutshof-Schloss vom «Bois de Chênes» </w:t>
            </w:r>
          </w:p>
          <w:p w14:paraId="12EEC9BF" w14:textId="77777777" w:rsidR="003D1C97" w:rsidRPr="0087245D" w:rsidRDefault="003D1C97" w:rsidP="003D1C97">
            <w:pPr>
              <w:ind w:left="-108"/>
              <w:jc w:val="both"/>
              <w:rPr>
                <w:rFonts w:asciiTheme="minorBidi" w:hAnsiTheme="minorBidi" w:cstheme="minorBidi"/>
                <w:color w:val="000000"/>
                <w:sz w:val="20"/>
                <w:lang w:val="pt-PT"/>
              </w:rPr>
            </w:pPr>
            <w:r w:rsidRPr="0087245D">
              <w:rPr>
                <w:rFonts w:asciiTheme="minorBidi" w:hAnsiTheme="minorBidi" w:cstheme="minorBidi"/>
                <w:color w:val="000000"/>
                <w:sz w:val="20"/>
                <w:lang w:val="pt-PT"/>
              </w:rPr>
              <w:t xml:space="preserve">Nicolas Delachaux </w:t>
            </w:r>
          </w:p>
          <w:p w14:paraId="4247719E" w14:textId="77777777" w:rsidR="003D1C97" w:rsidRDefault="009A30FA" w:rsidP="003D1C97">
            <w:pPr>
              <w:ind w:left="-108"/>
              <w:jc w:val="both"/>
              <w:rPr>
                <w:rFonts w:asciiTheme="minorBidi" w:hAnsiTheme="minorBidi" w:cstheme="minorBidi"/>
                <w:color w:val="000000"/>
                <w:sz w:val="20"/>
                <w:lang w:val="pt-PT"/>
              </w:rPr>
            </w:pPr>
            <w:hyperlink r:id="rId11" w:history="1">
              <w:r w:rsidR="003D1C97" w:rsidRPr="002C0AFD">
                <w:rPr>
                  <w:rFonts w:asciiTheme="minorBidi" w:hAnsiTheme="minorBidi" w:cstheme="minorBidi"/>
                  <w:color w:val="000000"/>
                  <w:sz w:val="20"/>
                  <w:lang w:val="pt-PT"/>
                </w:rPr>
                <w:t>nicolas.delachaux@glatz-delachaux.ch</w:t>
              </w:r>
            </w:hyperlink>
          </w:p>
          <w:p w14:paraId="27F3A625" w14:textId="477A84DA" w:rsidR="003D1C97" w:rsidRPr="0087245D" w:rsidRDefault="003D1C97" w:rsidP="003D1C97">
            <w:pPr>
              <w:ind w:left="-108"/>
              <w:jc w:val="both"/>
              <w:rPr>
                <w:b/>
                <w:bCs/>
                <w:sz w:val="20"/>
                <w:lang w:val="fr-FR"/>
              </w:rPr>
            </w:pPr>
            <w:proofErr w:type="spellStart"/>
            <w:r w:rsidRPr="0087245D">
              <w:rPr>
                <w:b/>
                <w:bCs/>
                <w:sz w:val="20"/>
                <w:lang w:val="fr-FR"/>
              </w:rPr>
              <w:t>Societé</w:t>
            </w:r>
            <w:proofErr w:type="spellEnd"/>
            <w:r w:rsidRPr="0087245D">
              <w:rPr>
                <w:b/>
                <w:bCs/>
                <w:sz w:val="20"/>
                <w:lang w:val="fr-FR"/>
              </w:rPr>
              <w:t xml:space="preserve"> de Lecture </w:t>
            </w:r>
          </w:p>
          <w:p w14:paraId="43FE9E78" w14:textId="77777777" w:rsidR="003D1C97" w:rsidRPr="0087245D" w:rsidRDefault="003D1C97" w:rsidP="003D1C97">
            <w:pPr>
              <w:ind w:left="-108"/>
              <w:jc w:val="both"/>
              <w:rPr>
                <w:rFonts w:asciiTheme="minorBidi" w:hAnsiTheme="minorBidi" w:cstheme="minorBidi"/>
                <w:color w:val="000000"/>
                <w:sz w:val="20"/>
                <w:lang w:val="fr-FR"/>
              </w:rPr>
            </w:pPr>
            <w:r w:rsidRPr="0087245D">
              <w:rPr>
                <w:rFonts w:asciiTheme="minorBidi" w:hAnsiTheme="minorBidi" w:cstheme="minorBidi"/>
                <w:color w:val="000000"/>
                <w:sz w:val="20"/>
                <w:lang w:val="fr-FR"/>
              </w:rPr>
              <w:t xml:space="preserve">Maxime </w:t>
            </w:r>
            <w:proofErr w:type="spellStart"/>
            <w:r w:rsidRPr="0087245D">
              <w:rPr>
                <w:rFonts w:asciiTheme="minorBidi" w:hAnsiTheme="minorBidi" w:cstheme="minorBidi"/>
                <w:color w:val="000000"/>
                <w:sz w:val="20"/>
                <w:lang w:val="fr-FR"/>
              </w:rPr>
              <w:t>Canals</w:t>
            </w:r>
            <w:proofErr w:type="spellEnd"/>
          </w:p>
          <w:p w14:paraId="1A1244BA" w14:textId="77777777" w:rsidR="003D1C97" w:rsidRPr="0087245D" w:rsidRDefault="003D1C97" w:rsidP="003D1C97">
            <w:pPr>
              <w:ind w:left="-108"/>
              <w:jc w:val="both"/>
              <w:rPr>
                <w:b/>
                <w:bCs/>
                <w:sz w:val="20"/>
                <w:lang w:val="fr-FR"/>
              </w:rPr>
            </w:pPr>
            <w:r w:rsidRPr="0087245D">
              <w:rPr>
                <w:rFonts w:asciiTheme="minorBidi" w:hAnsiTheme="minorBidi" w:cstheme="minorBidi"/>
                <w:color w:val="000000"/>
                <w:sz w:val="20"/>
                <w:lang w:val="fr-FR"/>
              </w:rPr>
              <w:t xml:space="preserve">maxime.canals@societe-de-lecture.ch </w:t>
            </w:r>
          </w:p>
          <w:p w14:paraId="006F40FE" w14:textId="6BCD7496" w:rsidR="003D1C97" w:rsidRPr="0087245D" w:rsidRDefault="003D1C97" w:rsidP="003D1C97">
            <w:pPr>
              <w:ind w:left="-108"/>
              <w:jc w:val="both"/>
              <w:rPr>
                <w:sz w:val="20"/>
                <w:lang w:val="fr-FR"/>
              </w:rPr>
            </w:pPr>
          </w:p>
          <w:p w14:paraId="471D04CC" w14:textId="77777777" w:rsidR="003D1C97" w:rsidRPr="0087245D" w:rsidRDefault="003D1C97" w:rsidP="003D1C97">
            <w:pPr>
              <w:ind w:left="-108"/>
              <w:jc w:val="both"/>
              <w:rPr>
                <w:b/>
                <w:sz w:val="20"/>
                <w:highlight w:val="green"/>
                <w:lang w:val="fr-FR"/>
              </w:rPr>
            </w:pPr>
          </w:p>
          <w:p w14:paraId="58BD3C0D" w14:textId="77777777" w:rsidR="003D1C97" w:rsidRPr="0087245D" w:rsidRDefault="003D1C97" w:rsidP="003D1C97">
            <w:pPr>
              <w:ind w:left="-108"/>
              <w:jc w:val="both"/>
              <w:rPr>
                <w:rFonts w:eastAsiaTheme="minorEastAsia"/>
                <w:sz w:val="20"/>
                <w:lang w:val="fr-FR"/>
              </w:rPr>
            </w:pPr>
          </w:p>
        </w:tc>
        <w:tc>
          <w:tcPr>
            <w:tcW w:w="5111" w:type="dxa"/>
            <w:tcBorders>
              <w:top w:val="nil"/>
              <w:left w:val="nil"/>
              <w:bottom w:val="nil"/>
              <w:right w:val="nil"/>
            </w:tcBorders>
          </w:tcPr>
          <w:p w14:paraId="3F4DEC9D" w14:textId="77777777" w:rsidR="003D1C97" w:rsidRPr="00771636" w:rsidRDefault="003D1C97" w:rsidP="003D1C97">
            <w:pPr>
              <w:ind w:left="824"/>
              <w:jc w:val="both"/>
              <w:rPr>
                <w:b/>
                <w:sz w:val="20"/>
                <w:lang w:val="de-DE"/>
              </w:rPr>
            </w:pPr>
            <w:r w:rsidRPr="00771636">
              <w:rPr>
                <w:b/>
                <w:sz w:val="20"/>
                <w:lang w:val="de-DE"/>
              </w:rPr>
              <w:t>Weitere Informationen über jeden</w:t>
            </w:r>
          </w:p>
          <w:p w14:paraId="2B7B148F" w14:textId="77777777" w:rsidR="003D1C97" w:rsidRPr="00771636" w:rsidRDefault="003D1C97" w:rsidP="003D1C97">
            <w:pPr>
              <w:ind w:left="824"/>
              <w:jc w:val="both"/>
              <w:rPr>
                <w:b/>
                <w:sz w:val="20"/>
                <w:lang w:val="de-DE"/>
              </w:rPr>
            </w:pPr>
            <w:r w:rsidRPr="00771636">
              <w:rPr>
                <w:b/>
                <w:sz w:val="20"/>
                <w:lang w:val="de-DE"/>
              </w:rPr>
              <w:t>Preisträger</w:t>
            </w:r>
          </w:p>
          <w:p w14:paraId="2BD07D67" w14:textId="77777777" w:rsidR="003D1C97" w:rsidRPr="00771636" w:rsidRDefault="003D1C97" w:rsidP="003D1C97">
            <w:pPr>
              <w:ind w:left="824"/>
              <w:rPr>
                <w:lang w:val="de-DE"/>
              </w:rPr>
            </w:pPr>
          </w:p>
          <w:p w14:paraId="7867AEE2" w14:textId="77777777" w:rsidR="003D1C97" w:rsidRPr="00771636" w:rsidRDefault="009A30FA" w:rsidP="003D1C97">
            <w:pPr>
              <w:ind w:left="824"/>
              <w:rPr>
                <w:sz w:val="20"/>
                <w:lang w:val="de-DE"/>
              </w:rPr>
            </w:pPr>
            <w:hyperlink r:id="rId12">
              <w:r w:rsidR="003D1C97" w:rsidRPr="00771636">
                <w:rPr>
                  <w:color w:val="0000FF"/>
                  <w:sz w:val="20"/>
                  <w:u w:val="single"/>
                  <w:lang w:val="de-DE"/>
                </w:rPr>
                <w:t>Information and jury’s comments</w:t>
              </w:r>
            </w:hyperlink>
            <w:r w:rsidR="003D1C97" w:rsidRPr="00771636">
              <w:rPr>
                <w:sz w:val="20"/>
                <w:lang w:val="de-DE"/>
              </w:rPr>
              <w:t xml:space="preserve">, </w:t>
            </w:r>
          </w:p>
          <w:p w14:paraId="3CAD0578" w14:textId="77777777" w:rsidR="003D1C97" w:rsidRDefault="009A30FA" w:rsidP="003D1C97">
            <w:pPr>
              <w:ind w:left="824"/>
              <w:rPr>
                <w:sz w:val="20"/>
              </w:rPr>
            </w:pPr>
            <w:hyperlink r:id="rId13">
              <w:r w:rsidR="003D1C97">
                <w:rPr>
                  <w:color w:val="0000FF"/>
                  <w:sz w:val="20"/>
                  <w:u w:val="single"/>
                </w:rPr>
                <w:t>Photos</w:t>
              </w:r>
            </w:hyperlink>
            <w:r w:rsidR="003D1C97">
              <w:rPr>
                <w:sz w:val="20"/>
              </w:rPr>
              <w:t xml:space="preserve"> and </w:t>
            </w:r>
            <w:hyperlink r:id="rId14">
              <w:r w:rsidR="003D1C97">
                <w:rPr>
                  <w:color w:val="0000FF"/>
                  <w:sz w:val="20"/>
                  <w:u w:val="single"/>
                </w:rPr>
                <w:t>Videos</w:t>
              </w:r>
            </w:hyperlink>
            <w:r w:rsidR="003D1C97">
              <w:rPr>
                <w:sz w:val="20"/>
              </w:rPr>
              <w:t xml:space="preserve"> (in high resolution)</w:t>
            </w:r>
          </w:p>
          <w:p w14:paraId="54B79FB0" w14:textId="77777777" w:rsidR="003D1C97" w:rsidRDefault="003D1C97" w:rsidP="003D1C97">
            <w:pPr>
              <w:ind w:left="824"/>
              <w:rPr>
                <w:sz w:val="20"/>
              </w:rPr>
            </w:pPr>
          </w:p>
          <w:p w14:paraId="23760DA3" w14:textId="77777777" w:rsidR="003D1C97" w:rsidRDefault="003D1C97" w:rsidP="003D1C97">
            <w:pPr>
              <w:ind w:left="824"/>
              <w:rPr>
                <w:color w:val="0000FF"/>
                <w:sz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u w:val="single"/>
              </w:rPr>
              <w:t>Press release in various languages</w:t>
            </w:r>
          </w:p>
          <w:p w14:paraId="02F5F2DF" w14:textId="77777777" w:rsidR="003D1C97" w:rsidRDefault="003D1C97" w:rsidP="003D1C97">
            <w:pPr>
              <w:ind w:left="824"/>
              <w:rPr>
                <w:sz w:val="20"/>
              </w:rPr>
            </w:pPr>
            <w:r>
              <w:fldChar w:fldCharType="end"/>
            </w:r>
          </w:p>
          <w:p w14:paraId="373C8A6F" w14:textId="77777777" w:rsidR="00B07259" w:rsidRPr="00B07259" w:rsidRDefault="009A30FA" w:rsidP="00B07259">
            <w:pPr>
              <w:ind w:left="850"/>
              <w:jc w:val="both"/>
              <w:rPr>
                <w:sz w:val="20"/>
                <w:lang w:val="it-IT"/>
              </w:rPr>
            </w:pPr>
            <w:hyperlink r:id="rId15" w:history="1">
              <w:r w:rsidR="00B07259" w:rsidRPr="00B07259">
                <w:rPr>
                  <w:rStyle w:val="Hyperlink"/>
                  <w:sz w:val="20"/>
                  <w:lang w:val="it-IT"/>
                </w:rPr>
                <w:t>www.glatz-delachaux.ch</w:t>
              </w:r>
            </w:hyperlink>
          </w:p>
          <w:p w14:paraId="28978F08" w14:textId="77777777" w:rsidR="00B07259" w:rsidRPr="00B07259" w:rsidRDefault="00B07259" w:rsidP="00B07259">
            <w:pPr>
              <w:ind w:left="850"/>
              <w:jc w:val="both"/>
              <w:rPr>
                <w:color w:val="0000FF"/>
                <w:sz w:val="20"/>
                <w:u w:val="single"/>
                <w:lang w:val="it-IT"/>
              </w:rPr>
            </w:pPr>
          </w:p>
          <w:p w14:paraId="746B2FEF" w14:textId="77777777" w:rsidR="00B07259" w:rsidRPr="00B07259" w:rsidRDefault="00B07259" w:rsidP="00B07259">
            <w:pPr>
              <w:ind w:left="824"/>
              <w:rPr>
                <w:sz w:val="20"/>
                <w:lang w:val="it-IT"/>
              </w:rPr>
            </w:pPr>
          </w:p>
          <w:p w14:paraId="4F1AD976" w14:textId="77777777" w:rsidR="00B07259" w:rsidRPr="00B07259" w:rsidRDefault="009A30FA" w:rsidP="00B07259">
            <w:pPr>
              <w:ind w:left="850"/>
              <w:jc w:val="both"/>
              <w:rPr>
                <w:sz w:val="20"/>
                <w:lang w:val="it-IT"/>
              </w:rPr>
            </w:pPr>
            <w:hyperlink r:id="rId16" w:history="1">
              <w:r w:rsidR="00B07259" w:rsidRPr="00B07259">
                <w:rPr>
                  <w:rStyle w:val="Hyperlink"/>
                  <w:sz w:val="20"/>
                  <w:lang w:val="it-IT"/>
                </w:rPr>
                <w:t>www.societe-de-lecture.ch</w:t>
              </w:r>
            </w:hyperlink>
          </w:p>
          <w:p w14:paraId="209CBFE3" w14:textId="77777777" w:rsidR="003D1C97" w:rsidRPr="00B07259" w:rsidRDefault="003D1C97" w:rsidP="003D1C97">
            <w:pPr>
              <w:ind w:left="824"/>
              <w:rPr>
                <w:sz w:val="20"/>
                <w:lang w:val="it-IT"/>
              </w:rPr>
            </w:pPr>
          </w:p>
          <w:p w14:paraId="387A2FB2" w14:textId="77777777" w:rsidR="003D1C97" w:rsidRPr="00B07259" w:rsidRDefault="003D1C97" w:rsidP="003D1C97">
            <w:pPr>
              <w:ind w:left="824"/>
              <w:rPr>
                <w:sz w:val="20"/>
                <w:lang w:val="it-IT"/>
              </w:rPr>
            </w:pPr>
          </w:p>
          <w:p w14:paraId="42849D66" w14:textId="77777777" w:rsidR="003D1C97" w:rsidRPr="00B07259" w:rsidRDefault="003D1C97" w:rsidP="003D1C97">
            <w:pPr>
              <w:ind w:left="824"/>
              <w:rPr>
                <w:sz w:val="20"/>
                <w:lang w:val="it-IT"/>
              </w:rPr>
            </w:pPr>
          </w:p>
          <w:p w14:paraId="383B8641" w14:textId="77777777" w:rsidR="003D1C97" w:rsidRPr="00B07259" w:rsidRDefault="003D1C97" w:rsidP="003D1C97">
            <w:pPr>
              <w:ind w:left="-108"/>
              <w:rPr>
                <w:rFonts w:eastAsiaTheme="minorEastAsia"/>
                <w:sz w:val="20"/>
                <w:lang w:val="it-IT"/>
              </w:rPr>
            </w:pPr>
          </w:p>
        </w:tc>
      </w:tr>
    </w:tbl>
    <w:p w14:paraId="6212EEE3" w14:textId="77777777" w:rsidR="003D1C97" w:rsidRPr="00B93726" w:rsidRDefault="003D1C97" w:rsidP="003D1C97">
      <w:pPr>
        <w:spacing w:before="120"/>
        <w:jc w:val="both"/>
        <w:rPr>
          <w:color w:val="000000"/>
          <w:lang w:val="de-DE"/>
        </w:rPr>
      </w:pPr>
      <w:r w:rsidRPr="00771636">
        <w:rPr>
          <w:b/>
          <w:color w:val="000000"/>
          <w:lang w:val="de-DE"/>
        </w:rPr>
        <w:t>Europa Nostra</w:t>
      </w:r>
    </w:p>
    <w:p w14:paraId="6B19C170" w14:textId="77777777" w:rsidR="00BA75E6" w:rsidRDefault="00BA75E6" w:rsidP="00BA75E6">
      <w:pPr>
        <w:jc w:val="both"/>
      </w:pPr>
    </w:p>
    <w:bookmarkStart w:id="1" w:name="_GoBack"/>
    <w:bookmarkEnd w:id="1"/>
    <w:p w14:paraId="75BC850B" w14:textId="72100196" w:rsidR="00BA75E6" w:rsidRPr="009F5E42" w:rsidRDefault="00BA75E6" w:rsidP="00BA75E6">
      <w:pPr>
        <w:jc w:val="both"/>
        <w:rPr>
          <w:color w:val="000000" w:themeColor="text1"/>
          <w:sz w:val="20"/>
          <w:lang w:val="de-DE"/>
        </w:rPr>
      </w:pPr>
      <w:r>
        <w:fldChar w:fldCharType="begin"/>
      </w:r>
      <w:r w:rsidRPr="00BA75E6">
        <w:rPr>
          <w:lang w:val="de-DE"/>
        </w:rPr>
        <w:instrText xml:space="preserve"> HYPERLINK "https://www.europanostra.org/" \h </w:instrText>
      </w:r>
      <w:r>
        <w:fldChar w:fldCharType="separate"/>
      </w:r>
      <w:r w:rsidRPr="00192EE7">
        <w:rPr>
          <w:color w:val="1155CC"/>
          <w:sz w:val="20"/>
          <w:u w:val="single"/>
          <w:lang w:val="de-DE"/>
        </w:rPr>
        <w:t>Europa Nostra</w:t>
      </w:r>
      <w:r>
        <w:rPr>
          <w:color w:val="1155CC"/>
          <w:sz w:val="20"/>
          <w:u w:val="single"/>
          <w:lang w:val="de-DE"/>
        </w:rPr>
        <w:fldChar w:fldCharType="end"/>
      </w:r>
      <w:r w:rsidRPr="00192EE7">
        <w:rPr>
          <w:color w:val="000000"/>
          <w:sz w:val="20"/>
          <w:lang w:val="de-DE"/>
        </w:rPr>
        <w:t xml:space="preserve"> </w:t>
      </w:r>
      <w:r w:rsidRPr="009F5E42">
        <w:rPr>
          <w:color w:val="000000" w:themeColor="text1"/>
          <w:sz w:val="20"/>
          <w:lang w:val="de-DE"/>
        </w:rPr>
        <w:t>ist die europäische Stimme der Zivilgesellschaft, die sich für den Schutz und die Förderung des Kultur- und Naturerbes einsetzt. Sie ist ein paneuropäischer Zusammenschluss von NGOs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w:t>
      </w:r>
    </w:p>
    <w:p w14:paraId="5C48DB40" w14:textId="77777777" w:rsidR="00BA75E6" w:rsidRDefault="00BA75E6" w:rsidP="00BA75E6">
      <w:pPr>
        <w:autoSpaceDE w:val="0"/>
        <w:autoSpaceDN w:val="0"/>
        <w:adjustRightInd w:val="0"/>
        <w:jc w:val="both"/>
        <w:rPr>
          <w:color w:val="222222"/>
          <w:sz w:val="20"/>
          <w:lang w:val="de-DE"/>
        </w:rPr>
      </w:pPr>
      <w:r w:rsidRPr="009F5E42">
        <w:rPr>
          <w:color w:val="000000" w:themeColor="text1"/>
          <w:sz w:val="20"/>
          <w:lang w:val="de-DE"/>
        </w:rPr>
        <w:t xml:space="preserve">Europa Nostra setzt sich für den Erhalt von Europas gefährdeten Denkmälern, Kulturerbestätten und Landschaften ein, insbesondere durch sein </w:t>
      </w:r>
      <w:hyperlink r:id="rId17" w:history="1">
        <w:r w:rsidRPr="00192EE7">
          <w:rPr>
            <w:color w:val="222222"/>
            <w:sz w:val="20"/>
            <w:lang w:val="de-DE"/>
          </w:rPr>
          <w:t xml:space="preserve">Programm </w:t>
        </w:r>
        <w:r w:rsidRPr="006B6042">
          <w:rPr>
            <w:color w:val="0D0DFF"/>
            <w:sz w:val="20"/>
            <w:lang w:val="de-DE"/>
          </w:rPr>
          <w:t>„Die 7 Meistgefährdeten“</w:t>
        </w:r>
      </w:hyperlink>
      <w:r w:rsidRPr="00192EE7">
        <w:rPr>
          <w:color w:val="222222"/>
          <w:sz w:val="20"/>
          <w:lang w:val="de-DE"/>
        </w:rPr>
        <w:t xml:space="preserve">. </w:t>
      </w:r>
      <w:r w:rsidRPr="009F5E42">
        <w:rPr>
          <w:color w:val="000000" w:themeColor="text1"/>
          <w:sz w:val="20"/>
          <w:lang w:val="de-DE"/>
        </w:rPr>
        <w:t xml:space="preserve">Herausragende Leistungen werden mit dem Europäischen Kulturerbepreis / Europa Nostra Award ausgezeichnet. Des Weiteren leistet Europa Nostra einen Beitrag zur Formulierung und Umsetzung von europäischen Strategien und Politik im Bereich Kulturerbe, auch durch einen strukturierten Dialog mit den europäischen Institutionen und die Koordinierung der </w:t>
      </w:r>
      <w:hyperlink r:id="rId18" w:history="1">
        <w:r w:rsidRPr="00192EE7">
          <w:rPr>
            <w:rStyle w:val="Hyperlink"/>
            <w:sz w:val="20"/>
            <w:lang w:val="de-DE"/>
          </w:rPr>
          <w:t>European Heritage Alliance 3.3</w:t>
        </w:r>
      </w:hyperlink>
      <w:r w:rsidRPr="00192EE7">
        <w:rPr>
          <w:color w:val="222222"/>
          <w:sz w:val="20"/>
          <w:lang w:val="de-DE"/>
        </w:rPr>
        <w:t xml:space="preserve">. </w:t>
      </w:r>
      <w:r w:rsidRPr="009F5E42">
        <w:rPr>
          <w:color w:val="000000" w:themeColor="text1"/>
          <w:sz w:val="20"/>
          <w:lang w:val="de-DE"/>
        </w:rPr>
        <w:t xml:space="preserve">Europa Nostra war einer der Initiatoren und ein wichtiger zivilgesellschaftlicher Partner des </w:t>
      </w:r>
      <w:hyperlink r:id="rId19" w:history="1">
        <w:r w:rsidRPr="00192EE7">
          <w:rPr>
            <w:rStyle w:val="Hyperlink"/>
            <w:sz w:val="20"/>
            <w:lang w:val="de-DE"/>
          </w:rPr>
          <w:t>Europäischen Jahres des Kulturerbes</w:t>
        </w:r>
      </w:hyperlink>
      <w:r w:rsidRPr="00192EE7">
        <w:rPr>
          <w:color w:val="222222"/>
          <w:sz w:val="20"/>
          <w:lang w:val="de-DE"/>
        </w:rPr>
        <w:t xml:space="preserve"> </w:t>
      </w:r>
      <w:r w:rsidRPr="009F5E42">
        <w:rPr>
          <w:color w:val="000000" w:themeColor="text1"/>
          <w:sz w:val="20"/>
          <w:lang w:val="de-DE"/>
        </w:rPr>
        <w:t>2018.</w:t>
      </w:r>
    </w:p>
    <w:p w14:paraId="6EA66CEA" w14:textId="56402446" w:rsidR="00C9195A" w:rsidRPr="00BA75E6" w:rsidRDefault="00C9195A" w:rsidP="00BA75E6">
      <w:pPr>
        <w:spacing w:before="120"/>
        <w:jc w:val="both"/>
        <w:rPr>
          <w:rFonts w:asciiTheme="minorBidi" w:hAnsiTheme="minorBidi" w:cstheme="minorBidi"/>
          <w:color w:val="000000"/>
          <w:sz w:val="20"/>
          <w:lang w:val="de-DE"/>
        </w:rPr>
      </w:pPr>
    </w:p>
    <w:sectPr w:rsidR="00C9195A" w:rsidRPr="00BA75E6" w:rsidSect="00B07259">
      <w:footerReference w:type="default" r:id="rId20"/>
      <w:pgSz w:w="11907" w:h="16840" w:code="9"/>
      <w:pgMar w:top="709" w:right="1152" w:bottom="540" w:left="1152"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C16FF" w14:textId="77777777" w:rsidR="009A30FA" w:rsidRDefault="009A30FA">
      <w:r>
        <w:separator/>
      </w:r>
    </w:p>
  </w:endnote>
  <w:endnote w:type="continuationSeparator" w:id="0">
    <w:p w14:paraId="5FF40394" w14:textId="77777777" w:rsidR="009A30FA" w:rsidRDefault="009A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4D03" w14:textId="77777777" w:rsidR="0049793F" w:rsidRDefault="004979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9278" w14:textId="77777777" w:rsidR="009A30FA" w:rsidRDefault="009A30FA">
      <w:r>
        <w:separator/>
      </w:r>
    </w:p>
  </w:footnote>
  <w:footnote w:type="continuationSeparator" w:id="0">
    <w:p w14:paraId="708A1BB9" w14:textId="77777777" w:rsidR="009A30FA" w:rsidRDefault="009A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6"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3"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5"/>
  </w:num>
  <w:num w:numId="5">
    <w:abstractNumId w:val="1"/>
  </w:num>
  <w:num w:numId="6">
    <w:abstractNumId w:val="14"/>
  </w:num>
  <w:num w:numId="7">
    <w:abstractNumId w:val="20"/>
  </w:num>
  <w:num w:numId="8">
    <w:abstractNumId w:val="17"/>
  </w:num>
  <w:num w:numId="9">
    <w:abstractNumId w:val="28"/>
  </w:num>
  <w:num w:numId="10">
    <w:abstractNumId w:val="18"/>
  </w:num>
  <w:num w:numId="11">
    <w:abstractNumId w:val="24"/>
  </w:num>
  <w:num w:numId="12">
    <w:abstractNumId w:val="26"/>
  </w:num>
  <w:num w:numId="13">
    <w:abstractNumId w:val="19"/>
  </w:num>
  <w:num w:numId="14">
    <w:abstractNumId w:val="12"/>
  </w:num>
  <w:num w:numId="15">
    <w:abstractNumId w:val="5"/>
  </w:num>
  <w:num w:numId="16">
    <w:abstractNumId w:val="2"/>
  </w:num>
  <w:num w:numId="17">
    <w:abstractNumId w:val="25"/>
  </w:num>
  <w:num w:numId="18">
    <w:abstractNumId w:val="8"/>
  </w:num>
  <w:num w:numId="19">
    <w:abstractNumId w:val="11"/>
  </w:num>
  <w:num w:numId="20">
    <w:abstractNumId w:val="9"/>
  </w:num>
  <w:num w:numId="21">
    <w:abstractNumId w:val="21"/>
  </w:num>
  <w:num w:numId="22">
    <w:abstractNumId w:val="6"/>
  </w:num>
  <w:num w:numId="23">
    <w:abstractNumId w:val="27"/>
  </w:num>
  <w:num w:numId="24">
    <w:abstractNumId w:val="13"/>
  </w:num>
  <w:num w:numId="25">
    <w:abstractNumId w:val="29"/>
  </w:num>
  <w:num w:numId="26">
    <w:abstractNumId w:val="4"/>
  </w:num>
  <w:num w:numId="27">
    <w:abstractNumId w:val="16"/>
  </w:num>
  <w:num w:numId="28">
    <w:abstractNumId w:val="1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51EA"/>
    <w:rsid w:val="00006396"/>
    <w:rsid w:val="00013621"/>
    <w:rsid w:val="000302AC"/>
    <w:rsid w:val="00036E97"/>
    <w:rsid w:val="000610C1"/>
    <w:rsid w:val="000758D8"/>
    <w:rsid w:val="0008503A"/>
    <w:rsid w:val="00085565"/>
    <w:rsid w:val="000B1ED9"/>
    <w:rsid w:val="000B51C1"/>
    <w:rsid w:val="000C09ED"/>
    <w:rsid w:val="000E0869"/>
    <w:rsid w:val="000E46A6"/>
    <w:rsid w:val="000F3B16"/>
    <w:rsid w:val="000F4DBA"/>
    <w:rsid w:val="00112543"/>
    <w:rsid w:val="0011424E"/>
    <w:rsid w:val="00161BFA"/>
    <w:rsid w:val="00163002"/>
    <w:rsid w:val="00166A84"/>
    <w:rsid w:val="0018160E"/>
    <w:rsid w:val="00190954"/>
    <w:rsid w:val="001A3EF6"/>
    <w:rsid w:val="001D1723"/>
    <w:rsid w:val="001D4259"/>
    <w:rsid w:val="001E4FCF"/>
    <w:rsid w:val="001F38AE"/>
    <w:rsid w:val="001F38C7"/>
    <w:rsid w:val="002025FC"/>
    <w:rsid w:val="00202CD0"/>
    <w:rsid w:val="00210464"/>
    <w:rsid w:val="00242081"/>
    <w:rsid w:val="002542B0"/>
    <w:rsid w:val="002621F3"/>
    <w:rsid w:val="00273819"/>
    <w:rsid w:val="00274D31"/>
    <w:rsid w:val="002805A5"/>
    <w:rsid w:val="00284564"/>
    <w:rsid w:val="002A0983"/>
    <w:rsid w:val="002A1B72"/>
    <w:rsid w:val="002A3216"/>
    <w:rsid w:val="002A44F7"/>
    <w:rsid w:val="002B417B"/>
    <w:rsid w:val="002C0AFD"/>
    <w:rsid w:val="002C1F43"/>
    <w:rsid w:val="002C3A11"/>
    <w:rsid w:val="002D55ED"/>
    <w:rsid w:val="002F582C"/>
    <w:rsid w:val="003025FD"/>
    <w:rsid w:val="00307BF7"/>
    <w:rsid w:val="003162ED"/>
    <w:rsid w:val="00326A7F"/>
    <w:rsid w:val="00333826"/>
    <w:rsid w:val="003342C0"/>
    <w:rsid w:val="00347857"/>
    <w:rsid w:val="00350267"/>
    <w:rsid w:val="003668D7"/>
    <w:rsid w:val="00391BEC"/>
    <w:rsid w:val="003924F4"/>
    <w:rsid w:val="003964D6"/>
    <w:rsid w:val="003B362C"/>
    <w:rsid w:val="003D1C97"/>
    <w:rsid w:val="003E07D4"/>
    <w:rsid w:val="003E2305"/>
    <w:rsid w:val="003E3673"/>
    <w:rsid w:val="003F340B"/>
    <w:rsid w:val="003F4EE6"/>
    <w:rsid w:val="003F5ED6"/>
    <w:rsid w:val="00427706"/>
    <w:rsid w:val="004308D5"/>
    <w:rsid w:val="00437BB2"/>
    <w:rsid w:val="00443D81"/>
    <w:rsid w:val="00447767"/>
    <w:rsid w:val="004551B3"/>
    <w:rsid w:val="00461107"/>
    <w:rsid w:val="004709BB"/>
    <w:rsid w:val="004830BA"/>
    <w:rsid w:val="0049089A"/>
    <w:rsid w:val="00492CBD"/>
    <w:rsid w:val="0049793F"/>
    <w:rsid w:val="00497AE1"/>
    <w:rsid w:val="004A1D73"/>
    <w:rsid w:val="004A380D"/>
    <w:rsid w:val="004A79CE"/>
    <w:rsid w:val="004B7A16"/>
    <w:rsid w:val="004C7A06"/>
    <w:rsid w:val="004C7F96"/>
    <w:rsid w:val="004D06FB"/>
    <w:rsid w:val="0050059F"/>
    <w:rsid w:val="00526077"/>
    <w:rsid w:val="00540602"/>
    <w:rsid w:val="00550F9B"/>
    <w:rsid w:val="00561FCB"/>
    <w:rsid w:val="00577A86"/>
    <w:rsid w:val="00582B60"/>
    <w:rsid w:val="005A1D97"/>
    <w:rsid w:val="005B6311"/>
    <w:rsid w:val="005B7BC7"/>
    <w:rsid w:val="005E3145"/>
    <w:rsid w:val="005E4A9C"/>
    <w:rsid w:val="005F20DC"/>
    <w:rsid w:val="005F23D4"/>
    <w:rsid w:val="005F2AF9"/>
    <w:rsid w:val="005F6177"/>
    <w:rsid w:val="006020E9"/>
    <w:rsid w:val="006233B4"/>
    <w:rsid w:val="006238B8"/>
    <w:rsid w:val="00635D03"/>
    <w:rsid w:val="0064021A"/>
    <w:rsid w:val="00645B4B"/>
    <w:rsid w:val="006704F1"/>
    <w:rsid w:val="00696458"/>
    <w:rsid w:val="00697399"/>
    <w:rsid w:val="006C6410"/>
    <w:rsid w:val="006D699A"/>
    <w:rsid w:val="00701CEA"/>
    <w:rsid w:val="00705480"/>
    <w:rsid w:val="00716A19"/>
    <w:rsid w:val="0072127D"/>
    <w:rsid w:val="007215DF"/>
    <w:rsid w:val="007375E4"/>
    <w:rsid w:val="00750DBE"/>
    <w:rsid w:val="00752DAD"/>
    <w:rsid w:val="00755130"/>
    <w:rsid w:val="007564EE"/>
    <w:rsid w:val="007569A5"/>
    <w:rsid w:val="0075746D"/>
    <w:rsid w:val="007610FC"/>
    <w:rsid w:val="00762919"/>
    <w:rsid w:val="00773132"/>
    <w:rsid w:val="00777B25"/>
    <w:rsid w:val="00782C4E"/>
    <w:rsid w:val="007850B2"/>
    <w:rsid w:val="007851B5"/>
    <w:rsid w:val="0079319F"/>
    <w:rsid w:val="007A23B9"/>
    <w:rsid w:val="007A403B"/>
    <w:rsid w:val="007B5479"/>
    <w:rsid w:val="007D0E43"/>
    <w:rsid w:val="007F2067"/>
    <w:rsid w:val="007F33B6"/>
    <w:rsid w:val="007F7FC9"/>
    <w:rsid w:val="0081041C"/>
    <w:rsid w:val="00815908"/>
    <w:rsid w:val="00816CAF"/>
    <w:rsid w:val="00840A57"/>
    <w:rsid w:val="00842045"/>
    <w:rsid w:val="00845888"/>
    <w:rsid w:val="00853154"/>
    <w:rsid w:val="008560EA"/>
    <w:rsid w:val="0087245D"/>
    <w:rsid w:val="0087325A"/>
    <w:rsid w:val="00875523"/>
    <w:rsid w:val="008A0CBA"/>
    <w:rsid w:val="008A2007"/>
    <w:rsid w:val="008A30DB"/>
    <w:rsid w:val="008A4014"/>
    <w:rsid w:val="008A47CB"/>
    <w:rsid w:val="008B50BD"/>
    <w:rsid w:val="008C4509"/>
    <w:rsid w:val="008D37E4"/>
    <w:rsid w:val="008D41D3"/>
    <w:rsid w:val="008E1CD5"/>
    <w:rsid w:val="008F09E7"/>
    <w:rsid w:val="008F7C1D"/>
    <w:rsid w:val="00907BE8"/>
    <w:rsid w:val="009146BE"/>
    <w:rsid w:val="00923936"/>
    <w:rsid w:val="00925BA5"/>
    <w:rsid w:val="009268A2"/>
    <w:rsid w:val="00927EC3"/>
    <w:rsid w:val="00937F69"/>
    <w:rsid w:val="00941F0D"/>
    <w:rsid w:val="00942EFA"/>
    <w:rsid w:val="00956BE0"/>
    <w:rsid w:val="00964880"/>
    <w:rsid w:val="009717EA"/>
    <w:rsid w:val="00973563"/>
    <w:rsid w:val="009737C1"/>
    <w:rsid w:val="009924F9"/>
    <w:rsid w:val="009958E1"/>
    <w:rsid w:val="009A1112"/>
    <w:rsid w:val="009A30FA"/>
    <w:rsid w:val="009B00A7"/>
    <w:rsid w:val="009B06E5"/>
    <w:rsid w:val="009B6C94"/>
    <w:rsid w:val="009C509C"/>
    <w:rsid w:val="009C5484"/>
    <w:rsid w:val="009D6659"/>
    <w:rsid w:val="009E2CEC"/>
    <w:rsid w:val="00A061AB"/>
    <w:rsid w:val="00A12B08"/>
    <w:rsid w:val="00A25E7D"/>
    <w:rsid w:val="00A35DBE"/>
    <w:rsid w:val="00A703F9"/>
    <w:rsid w:val="00A9613E"/>
    <w:rsid w:val="00AB660A"/>
    <w:rsid w:val="00AC15E7"/>
    <w:rsid w:val="00AD32F9"/>
    <w:rsid w:val="00AD598F"/>
    <w:rsid w:val="00AD7115"/>
    <w:rsid w:val="00B04806"/>
    <w:rsid w:val="00B05076"/>
    <w:rsid w:val="00B07259"/>
    <w:rsid w:val="00B07E74"/>
    <w:rsid w:val="00B13FE8"/>
    <w:rsid w:val="00B16ADA"/>
    <w:rsid w:val="00B41B80"/>
    <w:rsid w:val="00B912D9"/>
    <w:rsid w:val="00BA75E6"/>
    <w:rsid w:val="00BC2653"/>
    <w:rsid w:val="00BC37DD"/>
    <w:rsid w:val="00BD39FF"/>
    <w:rsid w:val="00BF45A1"/>
    <w:rsid w:val="00C21453"/>
    <w:rsid w:val="00C23588"/>
    <w:rsid w:val="00C27CCD"/>
    <w:rsid w:val="00C32D7D"/>
    <w:rsid w:val="00C3696A"/>
    <w:rsid w:val="00C43B4D"/>
    <w:rsid w:val="00C533C2"/>
    <w:rsid w:val="00C5626D"/>
    <w:rsid w:val="00C668C8"/>
    <w:rsid w:val="00C75154"/>
    <w:rsid w:val="00C81EE1"/>
    <w:rsid w:val="00C91782"/>
    <w:rsid w:val="00C9195A"/>
    <w:rsid w:val="00C933F4"/>
    <w:rsid w:val="00C94A08"/>
    <w:rsid w:val="00C9796C"/>
    <w:rsid w:val="00CA0B89"/>
    <w:rsid w:val="00CA5B8B"/>
    <w:rsid w:val="00CC44BC"/>
    <w:rsid w:val="00CD0316"/>
    <w:rsid w:val="00CD4D3A"/>
    <w:rsid w:val="00CE76E3"/>
    <w:rsid w:val="00D011C8"/>
    <w:rsid w:val="00D06448"/>
    <w:rsid w:val="00D10D7A"/>
    <w:rsid w:val="00D12B17"/>
    <w:rsid w:val="00D15BD4"/>
    <w:rsid w:val="00D20E7E"/>
    <w:rsid w:val="00D25F85"/>
    <w:rsid w:val="00D34A0D"/>
    <w:rsid w:val="00D47705"/>
    <w:rsid w:val="00D615EE"/>
    <w:rsid w:val="00D66CF7"/>
    <w:rsid w:val="00D678FD"/>
    <w:rsid w:val="00D71315"/>
    <w:rsid w:val="00D727A0"/>
    <w:rsid w:val="00D769FB"/>
    <w:rsid w:val="00D7745D"/>
    <w:rsid w:val="00D77FC9"/>
    <w:rsid w:val="00D9150B"/>
    <w:rsid w:val="00D952A6"/>
    <w:rsid w:val="00D95693"/>
    <w:rsid w:val="00DD0CB3"/>
    <w:rsid w:val="00DD5241"/>
    <w:rsid w:val="00DF52AC"/>
    <w:rsid w:val="00E00519"/>
    <w:rsid w:val="00E24319"/>
    <w:rsid w:val="00E54744"/>
    <w:rsid w:val="00E62E89"/>
    <w:rsid w:val="00E664FD"/>
    <w:rsid w:val="00E67C9B"/>
    <w:rsid w:val="00E74EB4"/>
    <w:rsid w:val="00EA7278"/>
    <w:rsid w:val="00ED3CB3"/>
    <w:rsid w:val="00ED690B"/>
    <w:rsid w:val="00EE22D9"/>
    <w:rsid w:val="00EE6195"/>
    <w:rsid w:val="00EE63E1"/>
    <w:rsid w:val="00EF24F3"/>
    <w:rsid w:val="00EF41AF"/>
    <w:rsid w:val="00F126DE"/>
    <w:rsid w:val="00F43628"/>
    <w:rsid w:val="00F45DF1"/>
    <w:rsid w:val="00F4642D"/>
    <w:rsid w:val="00F5436C"/>
    <w:rsid w:val="00F544EF"/>
    <w:rsid w:val="00F54EA5"/>
    <w:rsid w:val="00F74D70"/>
    <w:rsid w:val="00F7789F"/>
    <w:rsid w:val="00F81190"/>
    <w:rsid w:val="00F86831"/>
    <w:rsid w:val="00FA1622"/>
    <w:rsid w:val="00FA2F76"/>
    <w:rsid w:val="00FA35A2"/>
    <w:rsid w:val="00FB0812"/>
    <w:rsid w:val="00FD5928"/>
    <w:rsid w:val="00FD6DB3"/>
    <w:rsid w:val="00FE18FF"/>
    <w:rsid w:val="00FF51F8"/>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21C68"/>
  <w15:docId w15:val="{92BF14E5-3E3E-45CD-8C78-C3C1727E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840A57"/>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840A57"/>
    <w:pPr>
      <w:tabs>
        <w:tab w:val="center" w:pos="4153"/>
        <w:tab w:val="right" w:pos="8306"/>
      </w:tabs>
    </w:pPr>
  </w:style>
  <w:style w:type="character" w:styleId="PageNumber">
    <w:name w:val="page number"/>
    <w:basedOn w:val="DefaultParagraphFont"/>
    <w:rsid w:val="00840A57"/>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840A57"/>
    <w:rPr>
      <w:rFonts w:ascii="Arial" w:hAnsi="Arial"/>
      <w:b/>
      <w:kern w:val="0"/>
      <w:sz w:val="20"/>
      <w:vertAlign w:val="superscript"/>
    </w:rPr>
  </w:style>
  <w:style w:type="paragraph" w:styleId="FootnoteText">
    <w:name w:val="footnote text"/>
    <w:basedOn w:val="Normal"/>
    <w:rsid w:val="00840A57"/>
    <w:pPr>
      <w:ind w:left="170" w:hanging="170"/>
    </w:pPr>
    <w:rPr>
      <w:sz w:val="20"/>
    </w:rPr>
  </w:style>
  <w:style w:type="paragraph" w:styleId="Header">
    <w:name w:val="header"/>
    <w:basedOn w:val="Normal"/>
    <w:rsid w:val="00840A57"/>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840A57"/>
    <w:pPr>
      <w:spacing w:before="120" w:after="80"/>
      <w:ind w:left="284"/>
    </w:pPr>
    <w:rPr>
      <w:b/>
    </w:rPr>
  </w:style>
  <w:style w:type="paragraph" w:customStyle="1" w:styleId="Sous-titre3">
    <w:name w:val="Sous-titre 3"/>
    <w:basedOn w:val="Normal"/>
    <w:next w:val="Texte3"/>
    <w:autoRedefine/>
    <w:rsid w:val="00840A57"/>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customStyle="1" w:styleId="hps">
    <w:name w:val="hps"/>
    <w:basedOn w:val="DefaultParagraphFont"/>
    <w:rsid w:val="00166A84"/>
  </w:style>
  <w:style w:type="character" w:styleId="CommentReference">
    <w:name w:val="annotation reference"/>
    <w:basedOn w:val="DefaultParagraphFont"/>
    <w:semiHidden/>
    <w:unhideWhenUsed/>
    <w:rsid w:val="00EE6195"/>
    <w:rPr>
      <w:sz w:val="16"/>
      <w:szCs w:val="16"/>
    </w:rPr>
  </w:style>
  <w:style w:type="paragraph" w:styleId="CommentText">
    <w:name w:val="annotation text"/>
    <w:basedOn w:val="Normal"/>
    <w:link w:val="CommentTextChar"/>
    <w:semiHidden/>
    <w:unhideWhenUsed/>
    <w:rsid w:val="00EE6195"/>
    <w:rPr>
      <w:sz w:val="20"/>
    </w:rPr>
  </w:style>
  <w:style w:type="character" w:customStyle="1" w:styleId="CommentTextChar">
    <w:name w:val="Comment Text Char"/>
    <w:basedOn w:val="DefaultParagraphFont"/>
    <w:link w:val="CommentText"/>
    <w:semiHidden/>
    <w:rsid w:val="00EE6195"/>
    <w:rPr>
      <w:rFonts w:ascii="Arial" w:hAnsi="Arial"/>
    </w:rPr>
  </w:style>
  <w:style w:type="paragraph" w:styleId="CommentSubject">
    <w:name w:val="annotation subject"/>
    <w:basedOn w:val="CommentText"/>
    <w:next w:val="CommentText"/>
    <w:link w:val="CommentSubjectChar"/>
    <w:semiHidden/>
    <w:unhideWhenUsed/>
    <w:rsid w:val="00EE6195"/>
    <w:rPr>
      <w:b/>
      <w:bCs/>
    </w:rPr>
  </w:style>
  <w:style w:type="character" w:customStyle="1" w:styleId="CommentSubjectChar">
    <w:name w:val="Comment Subject Char"/>
    <w:basedOn w:val="CommentTextChar"/>
    <w:link w:val="CommentSubject"/>
    <w:semiHidden/>
    <w:rsid w:val="00EE6195"/>
    <w:rPr>
      <w:rFonts w:ascii="Arial" w:hAnsi="Arial"/>
      <w:b/>
      <w:bCs/>
    </w:rPr>
  </w:style>
  <w:style w:type="character" w:customStyle="1" w:styleId="UnresolvedMention">
    <w:name w:val="Unresolved Mention"/>
    <w:basedOn w:val="DefaultParagraphFont"/>
    <w:uiPriority w:val="99"/>
    <w:semiHidden/>
    <w:unhideWhenUsed/>
    <w:rsid w:val="0049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8218989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57623076">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210576699">
      <w:bodyDiv w:val="1"/>
      <w:marLeft w:val="0"/>
      <w:marRight w:val="0"/>
      <w:marTop w:val="0"/>
      <w:marBottom w:val="0"/>
      <w:divBdr>
        <w:top w:val="none" w:sz="0" w:space="0" w:color="auto"/>
        <w:left w:val="none" w:sz="0" w:space="0" w:color="auto"/>
        <w:bottom w:val="none" w:sz="0" w:space="0" w:color="auto"/>
        <w:right w:val="none" w:sz="0" w:space="0" w:color="auto"/>
      </w:divBdr>
    </w:div>
    <w:div w:id="240722742">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4188">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36187241">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7892485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28151897">
      <w:bodyDiv w:val="1"/>
      <w:marLeft w:val="0"/>
      <w:marRight w:val="0"/>
      <w:marTop w:val="0"/>
      <w:marBottom w:val="0"/>
      <w:divBdr>
        <w:top w:val="none" w:sz="0" w:space="0" w:color="auto"/>
        <w:left w:val="none" w:sz="0" w:space="0" w:color="auto"/>
        <w:bottom w:val="none" w:sz="0" w:space="0" w:color="auto"/>
        <w:right w:val="none" w:sz="0" w:space="0" w:color="auto"/>
      </w:divBdr>
    </w:div>
    <w:div w:id="129329343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338">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6906988">
      <w:bodyDiv w:val="1"/>
      <w:marLeft w:val="0"/>
      <w:marRight w:val="0"/>
      <w:marTop w:val="0"/>
      <w:marBottom w:val="0"/>
      <w:divBdr>
        <w:top w:val="none" w:sz="0" w:space="0" w:color="auto"/>
        <w:left w:val="none" w:sz="0" w:space="0" w:color="auto"/>
        <w:bottom w:val="none" w:sz="0" w:space="0" w:color="auto"/>
        <w:right w:val="none" w:sz="0" w:space="0" w:color="auto"/>
      </w:divBdr>
    </w:div>
    <w:div w:id="1467358757">
      <w:bodyDiv w:val="1"/>
      <w:marLeft w:val="0"/>
      <w:marRight w:val="0"/>
      <w:marTop w:val="0"/>
      <w:marBottom w:val="0"/>
      <w:divBdr>
        <w:top w:val="none" w:sz="0" w:space="0" w:color="auto"/>
        <w:left w:val="none" w:sz="0" w:space="0" w:color="auto"/>
        <w:bottom w:val="none" w:sz="0" w:space="0" w:color="auto"/>
        <w:right w:val="none" w:sz="0" w:space="0" w:color="auto"/>
      </w:divBdr>
    </w:div>
    <w:div w:id="1469595029">
      <w:bodyDiv w:val="1"/>
      <w:marLeft w:val="0"/>
      <w:marRight w:val="0"/>
      <w:marTop w:val="0"/>
      <w:marBottom w:val="0"/>
      <w:divBdr>
        <w:top w:val="none" w:sz="0" w:space="0" w:color="auto"/>
        <w:left w:val="none" w:sz="0" w:space="0" w:color="auto"/>
        <w:bottom w:val="none" w:sz="0" w:space="0" w:color="auto"/>
        <w:right w:val="none" w:sz="0" w:space="0" w:color="auto"/>
      </w:divBdr>
    </w:div>
    <w:div w:id="1512718398">
      <w:bodyDiv w:val="1"/>
      <w:marLeft w:val="0"/>
      <w:marRight w:val="0"/>
      <w:marTop w:val="0"/>
      <w:marBottom w:val="0"/>
      <w:divBdr>
        <w:top w:val="none" w:sz="0" w:space="0" w:color="auto"/>
        <w:left w:val="none" w:sz="0" w:space="0" w:color="auto"/>
        <w:bottom w:val="none" w:sz="0" w:space="0" w:color="auto"/>
        <w:right w:val="none" w:sz="0" w:space="0" w:color="auto"/>
      </w:divBdr>
    </w:div>
    <w:div w:id="1518732805">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32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67531695">
      <w:bodyDiv w:val="1"/>
      <w:marLeft w:val="0"/>
      <w:marRight w:val="0"/>
      <w:marTop w:val="0"/>
      <w:marBottom w:val="0"/>
      <w:divBdr>
        <w:top w:val="none" w:sz="0" w:space="0" w:color="auto"/>
        <w:left w:val="none" w:sz="0" w:space="0" w:color="auto"/>
        <w:bottom w:val="none" w:sz="0" w:space="0" w:color="auto"/>
        <w:right w:val="none" w:sz="0" w:space="0" w:color="auto"/>
      </w:divBdr>
    </w:div>
    <w:div w:id="1782142228">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69028963">
      <w:bodyDiv w:val="1"/>
      <w:marLeft w:val="0"/>
      <w:marRight w:val="0"/>
      <w:marTop w:val="0"/>
      <w:marBottom w:val="0"/>
      <w:divBdr>
        <w:top w:val="none" w:sz="0" w:space="0" w:color="auto"/>
        <w:left w:val="none" w:sz="0" w:space="0" w:color="auto"/>
        <w:bottom w:val="none" w:sz="0" w:space="0" w:color="auto"/>
        <w:right w:val="none" w:sz="0" w:space="0" w:color="auto"/>
      </w:divBdr>
    </w:div>
    <w:div w:id="187854328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12058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europanostra/albums/72157713873408618" TargetMode="External"/><Relationship Id="rId18" Type="http://schemas.openxmlformats.org/officeDocument/2006/relationships/hyperlink" Target="http://europeanheritageallianc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peanheritageawards.eu/winner_year/2020/" TargetMode="External"/><Relationship Id="rId17" Type="http://schemas.openxmlformats.org/officeDocument/2006/relationships/hyperlink" Target="http://7mostendangered.eu/" TargetMode="External"/><Relationship Id="rId2" Type="http://schemas.openxmlformats.org/officeDocument/2006/relationships/numbering" Target="numbering.xml"/><Relationship Id="rId16" Type="http://schemas.openxmlformats.org/officeDocument/2006/relationships/hyperlink" Target="http://www.societe-de-lecture.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delachaux@glatz-delachaux.ch" TargetMode="External"/><Relationship Id="rId5" Type="http://schemas.openxmlformats.org/officeDocument/2006/relationships/webSettings" Target="webSettings.xml"/><Relationship Id="rId15" Type="http://schemas.openxmlformats.org/officeDocument/2006/relationships/hyperlink" Target="http://www.glatz-delachaux.ch" TargetMode="External"/><Relationship Id="rId10" Type="http://schemas.openxmlformats.org/officeDocument/2006/relationships/hyperlink" Target="http://www.europeanheritageawards.eu/jury/" TargetMode="External"/><Relationship Id="rId19" Type="http://schemas.openxmlformats.org/officeDocument/2006/relationships/hyperlink" Target="https://www.europanostra.org/our-work/policy/european-year-cultural-heritage/" TargetMode="External"/><Relationship Id="rId4" Type="http://schemas.openxmlformats.org/officeDocument/2006/relationships/settings" Target="settings.xml"/><Relationship Id="rId9" Type="http://schemas.openxmlformats.org/officeDocument/2006/relationships/hyperlink" Target="https://www.europanostra.org/europes-top-heritage-awards-honour-21-exemplary-achievements-from-15-countries/" TargetMode="External"/><Relationship Id="rId14" Type="http://schemas.openxmlformats.org/officeDocument/2006/relationships/hyperlink" Target="https://www.youtube.com/user/EuropaNostraChanne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881D-424C-4505-A5F1-2E0460B2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15</TotalTime>
  <Pages>3</Pages>
  <Words>2006</Words>
  <Characters>10834</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Top margin 1</vt:lpstr>
      <vt:lpstr>Top margin 1</vt:lpstr>
    </vt:vector>
  </TitlesOfParts>
  <Company>European Commission</Company>
  <LinksUpToDate>false</LinksUpToDate>
  <CharactersWithSpaces>12815</CharactersWithSpaces>
  <SharedDoc>false</SharedDoc>
  <HLinks>
    <vt:vector size="48" baseType="variant">
      <vt:variant>
        <vt:i4>5636111</vt:i4>
      </vt:variant>
      <vt:variant>
        <vt:i4>21</vt:i4>
      </vt:variant>
      <vt:variant>
        <vt:i4>0</vt:i4>
      </vt:variant>
      <vt:variant>
        <vt:i4>5</vt:i4>
      </vt:variant>
      <vt:variant>
        <vt:lpwstr>https://www.youtube.com/user/EuropaNostraChannel</vt:lpwstr>
      </vt:variant>
      <vt:variant>
        <vt:lpwstr/>
      </vt:variant>
      <vt:variant>
        <vt:i4>6553644</vt:i4>
      </vt:variant>
      <vt:variant>
        <vt:i4>18</vt:i4>
      </vt:variant>
      <vt:variant>
        <vt:i4>0</vt:i4>
      </vt:variant>
      <vt:variant>
        <vt:i4>5</vt:i4>
      </vt:variant>
      <vt:variant>
        <vt:lpwstr>https://www.flickr.com/photos/europanostra/sets/72157650883731490/</vt:lpwstr>
      </vt:variant>
      <vt:variant>
        <vt:lpwstr/>
      </vt:variant>
      <vt:variant>
        <vt:i4>2490410</vt:i4>
      </vt:variant>
      <vt:variant>
        <vt:i4>15</vt:i4>
      </vt:variant>
      <vt:variant>
        <vt:i4>0</vt:i4>
      </vt:variant>
      <vt:variant>
        <vt:i4>5</vt:i4>
      </vt:variant>
      <vt:variant>
        <vt:lpwstr>http://www.europanostra.org/awards/181</vt:lpwstr>
      </vt:variant>
      <vt:variant>
        <vt:lpwstr/>
      </vt:variant>
      <vt:variant>
        <vt:i4>3539041</vt:i4>
      </vt:variant>
      <vt:variant>
        <vt:i4>12</vt:i4>
      </vt:variant>
      <vt:variant>
        <vt:i4>0</vt:i4>
      </vt:variant>
      <vt:variant>
        <vt:i4>5</vt:i4>
      </vt:variant>
      <vt:variant>
        <vt:lpwstr>http://twitter.com/europanostra</vt:lpwstr>
      </vt:variant>
      <vt:variant>
        <vt:lpwstr/>
      </vt:variant>
      <vt:variant>
        <vt:i4>4259950</vt:i4>
      </vt:variant>
      <vt:variant>
        <vt:i4>9</vt:i4>
      </vt:variant>
      <vt:variant>
        <vt:i4>0</vt:i4>
      </vt:variant>
      <vt:variant>
        <vt:i4>5</vt:i4>
      </vt:variant>
      <vt:variant>
        <vt:lpwstr>mailto:jp@europanostra.org</vt:lpwstr>
      </vt:variant>
      <vt:variant>
        <vt:lpwstr/>
      </vt:variant>
      <vt:variant>
        <vt:i4>5111932</vt:i4>
      </vt:variant>
      <vt:variant>
        <vt:i4>6</vt:i4>
      </vt:variant>
      <vt:variant>
        <vt:i4>0</vt:i4>
      </vt:variant>
      <vt:variant>
        <vt:i4>5</vt:i4>
      </vt:variant>
      <vt:variant>
        <vt:lpwstr>mailto:EB@EUROPANOSTRA.ORG</vt:lpwstr>
      </vt:variant>
      <vt:variant>
        <vt:lpwstr/>
      </vt:variant>
      <vt:variant>
        <vt:i4>5242969</vt:i4>
      </vt:variant>
      <vt:variant>
        <vt:i4>3</vt:i4>
      </vt:variant>
      <vt:variant>
        <vt:i4>0</vt:i4>
      </vt:variant>
      <vt:variant>
        <vt:i4>5</vt:i4>
      </vt:variant>
      <vt:variant>
        <vt:lpwstr>http://www.europanostra.org/</vt:lpwstr>
      </vt:variant>
      <vt:variant>
        <vt:lpwstr/>
      </vt:variant>
      <vt:variant>
        <vt:i4>4980826</vt:i4>
      </vt:variant>
      <vt:variant>
        <vt:i4>0</vt:i4>
      </vt:variant>
      <vt:variant>
        <vt:i4>0</vt:i4>
      </vt:variant>
      <vt:variant>
        <vt:i4>5</vt:i4>
      </vt:variant>
      <vt:variant>
        <vt:lpwstr>http://www.europanostra.org/oslo/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8</cp:revision>
  <cp:lastPrinted>2015-04-01T09:18:00Z</cp:lastPrinted>
  <dcterms:created xsi:type="dcterms:W3CDTF">2020-04-30T11:23:00Z</dcterms:created>
  <dcterms:modified xsi:type="dcterms:W3CDTF">2020-05-03T19:47:00Z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