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EC" w:rsidRDefault="003D44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35569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020EEC" w:rsidRDefault="00020E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Cs w:val="22"/>
        </w:rPr>
      </w:pPr>
    </w:p>
    <w:tbl>
      <w:tblPr>
        <w:tblStyle w:val="a"/>
        <w:tblW w:w="1012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34"/>
        <w:gridCol w:w="3656"/>
        <w:gridCol w:w="2835"/>
      </w:tblGrid>
      <w:tr w:rsidR="00020EEC">
        <w:tc>
          <w:tcPr>
            <w:tcW w:w="3634" w:type="dxa"/>
          </w:tcPr>
          <w:p w:rsidR="00020EEC" w:rsidRDefault="00020EEC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:rsidR="00020EEC" w:rsidRDefault="00020EEC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p w:rsidR="00020EEC" w:rsidRDefault="00020EEC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020EEC" w:rsidRDefault="003D4413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114300" distR="114300">
                  <wp:extent cx="1553210" cy="494665"/>
                  <wp:effectExtent l="0" t="0" r="0" b="0"/>
                  <wp:docPr id="1028" name="image3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ption: EU flag-Crea EU E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0" cy="494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</w:tcPr>
          <w:p w:rsidR="00020EEC" w:rsidRDefault="00020EEC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020EEC" w:rsidRDefault="003D441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  <w:r>
              <w:object w:dxaOrig="3721" w:dyaOrig="1515">
                <v:shape id="_x0000_s0" o:spid="_x0000_i1025" type="#_x0000_t75" style="width:158.25pt;height:63.75pt;visibility:visible" o:ole="">
                  <v:imagedata r:id="rId9" o:title=""/>
                  <v:path o:extrusionok="t"/>
                </v:shape>
                <o:OLEObject Type="Embed" ProgID="PBrush" ShapeID="_x0000_s0" DrawAspect="Content" ObjectID="_1669066520" r:id="rId10"/>
              </w:object>
            </w:r>
          </w:p>
          <w:p w:rsidR="00020EEC" w:rsidRDefault="00020E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:rsidR="00020EEC" w:rsidRDefault="003D441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  <w:t>ПРЕССЪОБЩЕНИЕ</w:t>
            </w:r>
          </w:p>
          <w:p w:rsidR="00020EEC" w:rsidRDefault="00020EE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EEC" w:rsidRDefault="003D4413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val="pt-PT" w:eastAsia="pt-PT"/>
              </w:rPr>
              <w:drawing>
                <wp:inline distT="0" distB="0" distL="114300" distR="114300">
                  <wp:extent cx="734060" cy="1189990"/>
                  <wp:effectExtent l="0" t="0" r="0" b="0"/>
                  <wp:docPr id="10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1189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EEC" w:rsidRDefault="00020EEC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20EEC" w:rsidRDefault="00020EEC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</w:p>
    <w:p w:rsidR="00020EEC" w:rsidRDefault="003D4413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>ПРОГРАМА „СЕДЕМТЕ НАЙ-ЗАСТРАШЕНИ“ ЗА 2021 Г.</w:t>
      </w:r>
    </w:p>
    <w:p w:rsidR="00020EEC" w:rsidRDefault="00020EEC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</w:p>
    <w:p w:rsidR="00020EEC" w:rsidRDefault="003D4413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b/>
          <w:color w:val="0D0D0D"/>
          <w:sz w:val="24"/>
          <w:szCs w:val="24"/>
        </w:rPr>
        <w:t xml:space="preserve">Киносалон „Модерен театър“ в София е сред 12-те най-застрашени обекта на културното наследство в Европа 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i/>
          <w:color w:val="0D0D0D"/>
          <w:sz w:val="20"/>
          <w:szCs w:val="20"/>
        </w:rPr>
        <w:t>Хага / Люксембург, 10-ти декември 2020 г.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„Европа Ностра“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– европейският „глас“ на гражданското общество, посветен на културното и природното наследство – и партниращата й организация, Институтът на Европейската инвестиционна банка, обявиха днес </w:t>
      </w:r>
      <w:r>
        <w:rPr>
          <w:rFonts w:ascii="Arial" w:eastAsia="Arial" w:hAnsi="Arial" w:cs="Arial"/>
          <w:b/>
          <w:color w:val="0D0D0D"/>
          <w:sz w:val="20"/>
          <w:szCs w:val="20"/>
        </w:rPr>
        <w:t>12-те най-застрашени обекта на културното наследство в Европа, които са в краткия списък за включване в програмата „Седемте най-застрашени“ за 2021 г.</w:t>
      </w:r>
      <w:r>
        <w:rPr>
          <w:rFonts w:ascii="Arial" w:eastAsia="Arial" w:hAnsi="Arial" w:cs="Arial"/>
          <w:color w:val="0D0D0D"/>
          <w:sz w:val="20"/>
          <w:szCs w:val="20"/>
        </w:rPr>
        <w:t>: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2">
        <w:r>
          <w:rPr>
            <w:rFonts w:ascii="Arial" w:eastAsia="Arial" w:hAnsi="Arial" w:cs="Arial"/>
            <w:b/>
            <w:color w:val="002060"/>
            <w:sz w:val="20"/>
            <w:szCs w:val="20"/>
            <w:u w:val="single"/>
          </w:rPr>
          <w:t>Киносалон „Модерен те</w:t>
        </w:r>
        <w:r>
          <w:rPr>
            <w:rFonts w:ascii="Arial" w:eastAsia="Arial" w:hAnsi="Arial" w:cs="Arial"/>
            <w:b/>
            <w:color w:val="002060"/>
            <w:sz w:val="20"/>
            <w:szCs w:val="20"/>
            <w:u w:val="single"/>
          </w:rPr>
          <w:t>атър,“ София, БЪЛГАРИЯ</w:t>
        </w:r>
      </w:hyperlink>
    </w:p>
    <w:p w:rsidR="00020EEC" w:rsidRDefault="003D4413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3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Зъбчатата железница на езерото Ахен, Тирол, АВСТРИЯ</w:t>
        </w:r>
      </w:hyperlink>
    </w:p>
    <w:p w:rsidR="00020EEC" w:rsidRDefault="003D4413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4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Гробищен парк „Мирогой,“ Загреб, ХЪРВАТИЯ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5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Църква „Сен Дени,О дьо Франс, ФРАНЦИЯ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6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Крепост „Нарикала,“ Тбилиси, ГРУЗИЯ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7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Система от зелени пояси, Кьолн, ГЕРМАНИЯ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8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Пет южноегейски острова, ГЪРЦИЯ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19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Градина „Джусти,“ Верона, ИТАЛИЯ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20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Дворец „Ка‘ Дзенобио,“ Венеция, ИТАЛИЯ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21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Манастир ‚Дечани,“ КОСОВО*</w:t>
        </w:r>
      </w:hyperlink>
      <w:r>
        <w:rPr>
          <w:rFonts w:ascii="Arial" w:eastAsia="Arial" w:hAnsi="Arial" w:cs="Arial"/>
          <w:color w:val="002060"/>
          <w:sz w:val="20"/>
          <w:szCs w:val="20"/>
          <w:vertAlign w:val="superscript"/>
        </w:rPr>
        <w:footnoteReference w:id="1"/>
      </w:r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22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Централната поща в Скопие, СЕВЕРНА МАКЕДОНИЯ</w:t>
        </w:r>
      </w:hyperlink>
    </w:p>
    <w:p w:rsidR="00020EEC" w:rsidRDefault="003D4413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hyperlink r:id="rId23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Параклис и отшелническо убежище „Сан Хуан де Сокуева,“ Кантабрия, ИСПАНИЯ</w:t>
        </w:r>
      </w:hyperlink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Подборът е направен въз осн</w:t>
      </w:r>
      <w:r>
        <w:rPr>
          <w:rFonts w:ascii="Arial" w:eastAsia="Arial" w:hAnsi="Arial" w:cs="Arial"/>
          <w:color w:val="0D0D0D"/>
          <w:sz w:val="20"/>
          <w:szCs w:val="20"/>
        </w:rPr>
        <w:t>ова на изключителното историческо значение и културната стойност на всеки един от обектите, както и с оглед на сериозността на опасностите, пред които са изправени. Нивото на ангажираност на местните общности и отдадеността на заинтересовани страни от публ</w:t>
      </w:r>
      <w:r>
        <w:rPr>
          <w:rFonts w:ascii="Arial" w:eastAsia="Arial" w:hAnsi="Arial" w:cs="Arial"/>
          <w:color w:val="0D0D0D"/>
          <w:sz w:val="20"/>
          <w:szCs w:val="20"/>
        </w:rPr>
        <w:t>ичния и частния сектор на спасяването на обектите са считани за добавени стойности от решаващо значение. Друг критерий за подбор е потенциалът на обектите да служат като катализатори на устойчивото социо-икономическо развитие на местно и по-широко ниво.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Д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ванадесетте застрашени паметници на културното наследство са избрани от международна </w:t>
      </w:r>
      <w:hyperlink r:id="rId24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консултативна комисия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 състояща се от експертите в областите история, археология, архитектура, консервация, пр</w:t>
      </w:r>
      <w:r>
        <w:rPr>
          <w:rFonts w:ascii="Arial" w:eastAsia="Arial" w:hAnsi="Arial" w:cs="Arial"/>
          <w:color w:val="000000"/>
          <w:sz w:val="20"/>
          <w:szCs w:val="20"/>
        </w:rPr>
        <w:t>оектен анализ и финанси.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Финалният списък със седемте най-застрашени обекта на културното наследство в Европа за 2021 г. ще бъде обявен през март. </w:t>
      </w:r>
    </w:p>
    <w:p w:rsidR="00020EEC" w:rsidRDefault="00020EEC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20EEC" w:rsidRDefault="003D4413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Построен през 1908 по инициатива на италианския търговец Карло Вакаро, киносалон „</w:t>
      </w:r>
      <w:r>
        <w:rPr>
          <w:rFonts w:ascii="Arial" w:eastAsia="Arial" w:hAnsi="Arial" w:cs="Arial"/>
          <w:b/>
          <w:color w:val="222222"/>
          <w:sz w:val="20"/>
          <w:szCs w:val="20"/>
        </w:rPr>
        <w:t>Модерен театър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“ в София е едно от първите кина в Европа. Киносалонът има един от най-големите екрани за своето време и играе основна роля в развитието на българската киноиндустрия както чрез създаване на филми, така и чрез дистрибуция на филмова техника с марката „Пате </w:t>
      </w:r>
      <w:r>
        <w:rPr>
          <w:rFonts w:ascii="Arial" w:eastAsia="Arial" w:hAnsi="Arial" w:cs="Arial"/>
          <w:color w:val="222222"/>
          <w:sz w:val="20"/>
          <w:szCs w:val="20"/>
        </w:rPr>
        <w:t>Фрер“ на регионално ниво. Само за пет години „Модерен театър“ се превръща в един от най-важните културни центрове, в които интелектуалци и хора на изкуството могат да се насладят на българско и чуждестранно кино.</w:t>
      </w:r>
    </w:p>
    <w:p w:rsidR="00020EEC" w:rsidRDefault="00020EEC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020EEC" w:rsidRDefault="003D4413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lastRenderedPageBreak/>
        <w:t xml:space="preserve">Киното се намира на един от най-старите и </w:t>
      </w:r>
      <w:r>
        <w:rPr>
          <w:rFonts w:ascii="Arial" w:eastAsia="Arial" w:hAnsi="Arial" w:cs="Arial"/>
          <w:color w:val="222222"/>
          <w:sz w:val="20"/>
          <w:szCs w:val="20"/>
        </w:rPr>
        <w:t>известни софийски булеварди, заобиколено от няколко други забележителни сгради и на хвърлей от най-важните религиозни, културни и административни паметници на столицата, които се намират в центъра на града. Сградата на „Модерен театър“ е проектирана от бъл</w:t>
      </w:r>
      <w:r>
        <w:rPr>
          <w:rFonts w:ascii="Arial" w:eastAsia="Arial" w:hAnsi="Arial" w:cs="Arial"/>
          <w:color w:val="222222"/>
          <w:sz w:val="20"/>
          <w:szCs w:val="20"/>
        </w:rPr>
        <w:t>гарския архитект Димитър Начев в стил виенски сецесион и е пример за модернизацията на България в първите години на ХХ век.</w:t>
      </w:r>
    </w:p>
    <w:p w:rsidR="00020EEC" w:rsidRDefault="00020EEC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020EEC" w:rsidRDefault="003D4413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Въпреки че сградата на „Модерен театър“ оцелява след бомбардировките над София през 1944 г. и след последвалите смени на политическ</w:t>
      </w:r>
      <w:r>
        <w:rPr>
          <w:rFonts w:ascii="Arial" w:eastAsia="Arial" w:hAnsi="Arial" w:cs="Arial"/>
          <w:color w:val="222222"/>
          <w:sz w:val="20"/>
          <w:szCs w:val="20"/>
        </w:rPr>
        <w:t>ите режими, киното затваря врати през 2003 г. и оттогава тъне в разруха. Счупени прозорци и частично срутеният покрив излагат сградата на волята на природните стихии, което води до навлизане на вода и развитието на всякаква флора във вътрешността на киното</w:t>
      </w:r>
      <w:r>
        <w:rPr>
          <w:rFonts w:ascii="Arial" w:eastAsia="Arial" w:hAnsi="Arial" w:cs="Arial"/>
          <w:color w:val="222222"/>
          <w:sz w:val="20"/>
          <w:szCs w:val="20"/>
        </w:rPr>
        <w:t>. Сградата е била обект и на вандализъм. Декоративните елементи по основната фасада също са изложени на риск, тъй като на места се рушат.</w:t>
      </w:r>
    </w:p>
    <w:p w:rsidR="00020EEC" w:rsidRDefault="00020EEC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020EEC" w:rsidRDefault="003D4413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Кино „Модерен театър“ в момента е исторически обект от „местно значение,“ което означава, че основната фасада не може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да бъде разрушена, но останалата част от сградата може да бъде заменена от нова конструкция. Но киносалонът може да бъде прекатегоризиран като обект от „национално значение“ и по този начин може да бъде запазен изцяло.</w:t>
      </w:r>
    </w:p>
    <w:p w:rsidR="00020EEC" w:rsidRDefault="00020EEC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020EEC" w:rsidRDefault="003D4413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Подкрепящите каузата за спасяване н</w:t>
      </w:r>
      <w:r>
        <w:rPr>
          <w:rFonts w:ascii="Arial" w:eastAsia="Arial" w:hAnsi="Arial" w:cs="Arial"/>
          <w:color w:val="222222"/>
          <w:sz w:val="20"/>
          <w:szCs w:val="20"/>
        </w:rPr>
        <w:t>а „Модерен театър“ приканват за превръщането на киното отново в творчески и културен център в сърцето на българската столица. Номинацията на „Модерен театър“ за изданието на програмата „Седемте най-застрашени“ (7 Most Endangered) за 2021 г. на „Европа Ност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ра“ е издигната от </w:t>
      </w:r>
      <w:r>
        <w:rPr>
          <w:rFonts w:ascii="Arial" w:eastAsia="Arial" w:hAnsi="Arial" w:cs="Arial"/>
          <w:b/>
          <w:color w:val="222222"/>
          <w:sz w:val="20"/>
          <w:szCs w:val="20"/>
        </w:rPr>
        <w:t>индивидуален член на европейската организация от България</w:t>
      </w:r>
      <w:r>
        <w:rPr>
          <w:rFonts w:ascii="Arial" w:eastAsia="Arial" w:hAnsi="Arial" w:cs="Arial"/>
          <w:color w:val="222222"/>
          <w:sz w:val="20"/>
          <w:szCs w:val="20"/>
        </w:rPr>
        <w:t>.</w:t>
      </w:r>
    </w:p>
    <w:p w:rsidR="00020EEC" w:rsidRDefault="00020EEC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:rsidR="00020EEC" w:rsidRDefault="003D4413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i/>
          <w:color w:val="222222"/>
          <w:sz w:val="20"/>
          <w:szCs w:val="20"/>
        </w:rPr>
        <w:t>„Като обект, намиращ се в историческа градска част, която предлага редица културни дейности, „Модерен театър“ може лесно да се превърне в място за провеждане на подобни мероприя</w:t>
      </w:r>
      <w:r>
        <w:rPr>
          <w:rFonts w:ascii="Arial" w:eastAsia="Arial" w:hAnsi="Arial" w:cs="Arial"/>
          <w:i/>
          <w:color w:val="222222"/>
          <w:sz w:val="20"/>
          <w:szCs w:val="20"/>
        </w:rPr>
        <w:t>тия. Освен това запазването на киносалона е от жизненоважно значение за съхранението на целостта на групата от исторически сгради на булеварда“,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отбелязa консултативната комисия на програмата „Седемте най-застрашени“.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20EEC" w:rsidRDefault="003D44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Изпълнителният президент на „Европа Ностра“, </w:t>
      </w:r>
      <w:r>
        <w:rPr>
          <w:rFonts w:ascii="Arial" w:eastAsia="Arial" w:hAnsi="Arial" w:cs="Arial"/>
          <w:b/>
          <w:color w:val="0D0D0D"/>
          <w:sz w:val="20"/>
          <w:szCs w:val="20"/>
        </w:rPr>
        <w:t>проф. д-р Херман Парцингер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, заяви: </w:t>
      </w:r>
      <w:r>
        <w:rPr>
          <w:rFonts w:ascii="Arial" w:eastAsia="Arial" w:hAnsi="Arial" w:cs="Arial"/>
          <w:i/>
          <w:color w:val="0D0D0D"/>
          <w:sz w:val="20"/>
          <w:szCs w:val="20"/>
        </w:rPr>
        <w:t>“В това време на обезпокояваща глобална криза ние сме напълно солидарни с местните общности в цяла Европа, които са неуморни пазители на нашите най-уязвими паметници на културн</w:t>
      </w:r>
      <w:r>
        <w:rPr>
          <w:rFonts w:ascii="Arial" w:eastAsia="Arial" w:hAnsi="Arial" w:cs="Arial"/>
          <w:i/>
          <w:color w:val="0D0D0D"/>
          <w:sz w:val="20"/>
          <w:szCs w:val="20"/>
        </w:rPr>
        <w:t>ото наследство. Ние сме съпричастни и също така дейни. Можете да разчитате на „Европа Ностра“ и на нашата широка мрежа от членове и партньори да се обявим в защита на тези 12 паметника на културното наследство, изложени на риск от безвъзвратна загуба. От е</w:t>
      </w:r>
      <w:r>
        <w:rPr>
          <w:rFonts w:ascii="Arial" w:eastAsia="Arial" w:hAnsi="Arial" w:cs="Arial"/>
          <w:i/>
          <w:color w:val="0D0D0D"/>
          <w:sz w:val="20"/>
          <w:szCs w:val="20"/>
        </w:rPr>
        <w:t>мблематични природни пейзажи до обекти от религиозно значение и шедьоври на модернистичната архитектура, тези забележителни места въплъщават нашата обща история и са неоползотворен източник на развитие и благосъстояние за участващите региони и държави и за</w:t>
      </w:r>
      <w:r>
        <w:rPr>
          <w:rFonts w:ascii="Arial" w:eastAsia="Arial" w:hAnsi="Arial" w:cs="Arial"/>
          <w:i/>
          <w:color w:val="0D0D0D"/>
          <w:sz w:val="20"/>
          <w:szCs w:val="20"/>
        </w:rPr>
        <w:t xml:space="preserve"> Европа като цяло. Във време, в което такова развитие е най-необходимо, нека работим заедно, за да запазим нашето културно наследство и да го поставим там, където му е мястото: в сърцето на европейското възстановяване след пандемията.“</w:t>
      </w:r>
    </w:p>
    <w:p w:rsidR="00020EEC" w:rsidRDefault="00020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Деканът на Института на Европейската инвестиционна банка, </w:t>
      </w:r>
      <w:r>
        <w:rPr>
          <w:rFonts w:ascii="Arial" w:eastAsia="Arial" w:hAnsi="Arial" w:cs="Arial"/>
          <w:b/>
          <w:color w:val="0D0D0D"/>
          <w:sz w:val="20"/>
          <w:szCs w:val="20"/>
        </w:rPr>
        <w:t>Франсиско де Паула Коелю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, сподели: </w:t>
      </w:r>
      <w:r>
        <w:rPr>
          <w:rFonts w:ascii="Arial" w:eastAsia="Arial" w:hAnsi="Arial" w:cs="Arial"/>
          <w:i/>
          <w:color w:val="0D0D0D"/>
          <w:sz w:val="20"/>
          <w:szCs w:val="20"/>
        </w:rPr>
        <w:t>“Този кратък списък e важно напомняне, че нашето културно наследство е крехко и че не трябва да се приема за даденост. С представянето на списъка нашата обща цел е</w:t>
      </w:r>
      <w:r>
        <w:rPr>
          <w:rFonts w:ascii="Arial" w:eastAsia="Arial" w:hAnsi="Arial" w:cs="Arial"/>
          <w:i/>
          <w:color w:val="0D0D0D"/>
          <w:sz w:val="20"/>
          <w:szCs w:val="20"/>
        </w:rPr>
        <w:t xml:space="preserve"> да подкрепим и задълбочим усилията на местните общности из цяла Европа, които са убедени в изключителната и многопластова стойност на нашето културно наследство. За да се възползваме изцяло от нашето споделено културно наследство като „двигател“ на устойч</w:t>
      </w:r>
      <w:r>
        <w:rPr>
          <w:rFonts w:ascii="Arial" w:eastAsia="Arial" w:hAnsi="Arial" w:cs="Arial"/>
          <w:i/>
          <w:color w:val="0D0D0D"/>
          <w:sz w:val="20"/>
          <w:szCs w:val="20"/>
        </w:rPr>
        <w:t>иво развитие, трябва, като първа и най-належаща стъпка, да осигурим физическото му опазване.“</w:t>
      </w:r>
    </w:p>
    <w:p w:rsidR="00020EEC" w:rsidRDefault="00020E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Програмата „Седемте най-застрашени“ се управлява от </w:t>
      </w:r>
      <w:r>
        <w:rPr>
          <w:rFonts w:ascii="Arial" w:eastAsia="Arial" w:hAnsi="Arial" w:cs="Arial"/>
          <w:b/>
          <w:color w:val="0D0D0D"/>
          <w:sz w:val="20"/>
          <w:szCs w:val="20"/>
        </w:rPr>
        <w:t>„Европа Ностра“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в партньорство с </w:t>
      </w:r>
      <w:r>
        <w:rPr>
          <w:rFonts w:ascii="Arial" w:eastAsia="Arial" w:hAnsi="Arial" w:cs="Arial"/>
          <w:b/>
          <w:color w:val="0D0D0D"/>
          <w:sz w:val="20"/>
          <w:szCs w:val="20"/>
        </w:rPr>
        <w:t>Института на Европейската инвестиционна банка</w:t>
      </w:r>
      <w:r>
        <w:rPr>
          <w:rFonts w:ascii="Arial" w:eastAsia="Arial" w:hAnsi="Arial" w:cs="Arial"/>
          <w:color w:val="0D0D0D"/>
          <w:sz w:val="20"/>
          <w:szCs w:val="20"/>
        </w:rPr>
        <w:t>, както и с подкрепата на</w:t>
      </w:r>
      <w:r>
        <w:rPr>
          <w:rFonts w:ascii="Arial" w:eastAsia="Arial" w:hAnsi="Arial" w:cs="Arial"/>
          <w:b/>
          <w:color w:val="0D0D0D"/>
          <w:sz w:val="20"/>
          <w:szCs w:val="20"/>
        </w:rPr>
        <w:t xml:space="preserve"> прогр</w:t>
      </w:r>
      <w:r>
        <w:rPr>
          <w:rFonts w:ascii="Arial" w:eastAsia="Arial" w:hAnsi="Arial" w:cs="Arial"/>
          <w:b/>
          <w:color w:val="0D0D0D"/>
          <w:sz w:val="20"/>
          <w:szCs w:val="20"/>
        </w:rPr>
        <w:t>амата „Творческа Европа“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на Европейския съюз. Учредена през 2013 г., програмата „Седемте най-застрашени“ представлява част от кампания на гражданското общество за спасяване на застрашеното културно наследство на Европа. Инициативата повишава осведомеността</w:t>
      </w:r>
      <w:r>
        <w:rPr>
          <w:rFonts w:ascii="Arial" w:eastAsia="Arial" w:hAnsi="Arial" w:cs="Arial"/>
          <w:color w:val="0D0D0D"/>
          <w:sz w:val="20"/>
          <w:szCs w:val="20"/>
        </w:rPr>
        <w:t>, изготвя независими оценки и предлага препоръки за действие. Въпреки че „Седемте най-застрашени“ не предоставя пряко финансиране, включването на застрашен обект в програмата често служи като катализатор и стимул за мобилизиране на необходимата публична ил</w:t>
      </w:r>
      <w:r>
        <w:rPr>
          <w:rFonts w:ascii="Arial" w:eastAsia="Arial" w:hAnsi="Arial" w:cs="Arial"/>
          <w:color w:val="0D0D0D"/>
          <w:sz w:val="20"/>
          <w:szCs w:val="20"/>
        </w:rPr>
        <w:t>и частна подкрепа, включително под формата на финансиране.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В изданието на програмата за 2021 г., за първи път от нейното начало, всеки един от избраните седем най-застрашени паметника на културното наследство ще отговаря на условията за получаване на </w:t>
      </w:r>
      <w:r>
        <w:rPr>
          <w:rFonts w:ascii="Arial" w:eastAsia="Arial" w:hAnsi="Arial" w:cs="Arial"/>
          <w:b/>
          <w:color w:val="0D0D0D"/>
          <w:sz w:val="20"/>
          <w:szCs w:val="20"/>
        </w:rPr>
        <w:t>безв</w:t>
      </w:r>
      <w:r>
        <w:rPr>
          <w:rFonts w:ascii="Arial" w:eastAsia="Arial" w:hAnsi="Arial" w:cs="Arial"/>
          <w:b/>
          <w:color w:val="0D0D0D"/>
          <w:sz w:val="20"/>
          <w:szCs w:val="20"/>
        </w:rPr>
        <w:t>ъзмездна помощ от Европейската инвестиционна банка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в размер на </w:t>
      </w:r>
      <w:r>
        <w:rPr>
          <w:rFonts w:ascii="Arial" w:eastAsia="Arial" w:hAnsi="Arial" w:cs="Arial"/>
          <w:b/>
          <w:color w:val="0D0D0D"/>
          <w:sz w:val="20"/>
          <w:szCs w:val="20"/>
        </w:rPr>
        <w:t>до 10 000 евро</w:t>
      </w:r>
      <w:r>
        <w:rPr>
          <w:rFonts w:ascii="Arial" w:eastAsia="Arial" w:hAnsi="Arial" w:cs="Arial"/>
          <w:color w:val="0D0D0D"/>
          <w:sz w:val="20"/>
          <w:szCs w:val="20"/>
        </w:rPr>
        <w:t>. Тази финансова помощ може да бъде предоставена на обектите, за да подпомогне изпълнението на съгласуваните планове за действие, които ще допринесат за спасяването на паметниците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.  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D0D0D"/>
          <w:sz w:val="20"/>
          <w:szCs w:val="20"/>
        </w:rPr>
      </w:pPr>
    </w:p>
    <w:p w:rsidR="00020EEC" w:rsidRDefault="003D4413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lastRenderedPageBreak/>
        <w:t xml:space="preserve">Номинациите на обектите за програмата „Седемте най-застрашени“ са направени от организации – членки на „Европа Ностра,“ асоциирани организации, индивидуални членове и членове на </w:t>
      </w:r>
      <w:hyperlink r:id="rId25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Европейския алианс за културното наследство (European Heritage Alliance</w:t>
        </w:r>
      </w:hyperlink>
      <w:r>
        <w:rPr>
          <w:rFonts w:ascii="Arial" w:eastAsia="Arial" w:hAnsi="Arial" w:cs="Arial"/>
          <w:color w:val="00206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0252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020EEC">
        <w:tc>
          <w:tcPr>
            <w:tcW w:w="5103" w:type="dxa"/>
          </w:tcPr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ЗА КОНТАКТИ</w:t>
            </w:r>
          </w:p>
          <w:p w:rsidR="00020EEC" w:rsidRDefault="00020E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„Европа Ностра“</w:t>
            </w:r>
          </w:p>
          <w:p w:rsidR="00020EEC" w:rsidRDefault="003D441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Жоана Пинейро (Joana Pinheiro), jp@europanostra.org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 xml:space="preserve">моб. тел.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31 6 34 36 59 85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Сара Дзанини (Sara Zanini), sz@europanostra.org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 xml:space="preserve">моб. тел.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+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39 32 80 45 58 65</w:t>
            </w:r>
          </w:p>
          <w:p w:rsidR="00020EEC" w:rsidRDefault="00020E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Институт на Европейската инвестиционна банка</w:t>
            </w:r>
          </w:p>
          <w:p w:rsidR="00020EEC" w:rsidRDefault="003D441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Бруно Росиньол (Bruno Rossignol),</w:t>
            </w: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bruno.rossignol@eib.org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тел.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+352 43 797 07 67; </w:t>
            </w: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моб. тел.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+352 62 134 58 62</w:t>
            </w:r>
          </w:p>
          <w:p w:rsidR="00020EEC" w:rsidRDefault="00020E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Номиниращ обекта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Калина Кутева, </w:t>
            </w:r>
            <w:hyperlink r:id="rId26">
              <w:r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</w:rPr>
                <w:t>kalinapkuteva@gmail.com</w:t>
              </w:r>
            </w:hyperlink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моб. тел.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 +359 883 407 570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Анелия Иванова, </w:t>
            </w:r>
            <w:hyperlink r:id="rId27">
              <w:r>
                <w:rPr>
                  <w:rFonts w:ascii="Arial" w:eastAsia="Arial" w:hAnsi="Arial" w:cs="Arial"/>
                  <w:color w:val="000080"/>
                  <w:sz w:val="20"/>
                  <w:szCs w:val="20"/>
                  <w:u w:val="single"/>
                </w:rPr>
                <w:t>suffer.ani@gmail.com</w:t>
              </w:r>
            </w:hyperlink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9" w:type="dxa"/>
          </w:tcPr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ЗА ПОВЕЧЕ ИНФОРМАЦИЯ</w:t>
            </w:r>
          </w:p>
          <w:p w:rsidR="00020EEC" w:rsidRDefault="00020EEC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За всеки един от обектите: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8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Информация и коментари на експертите</w:t>
              </w:r>
            </w:hyperlink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Снимки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hyperlink r:id="rId30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видео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(с високо качество)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1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Прессъобщения на различни езици</w:t>
              </w:r>
            </w:hyperlink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 </w:t>
            </w:r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  <w:highlight w:val="yellow"/>
              </w:rPr>
            </w:pPr>
            <w:hyperlink r:id="rId32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www.europanostra.org</w:t>
              </w:r>
            </w:hyperlink>
          </w:p>
          <w:p w:rsidR="00020EEC" w:rsidRDefault="003D4413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3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www.7mostendangered.eu</w:t>
              </w:r>
            </w:hyperlink>
          </w:p>
          <w:p w:rsidR="00020EEC" w:rsidRDefault="00020E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:rsidR="00020EEC" w:rsidRDefault="003D4413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34">
              <w:r>
                <w:rPr>
                  <w:rFonts w:ascii="Arial" w:eastAsia="Arial" w:hAnsi="Arial" w:cs="Arial"/>
                  <w:color w:val="002060"/>
                  <w:sz w:val="20"/>
                  <w:szCs w:val="20"/>
                  <w:u w:val="single"/>
                </w:rPr>
                <w:t>http://institute.eib.org</w:t>
              </w:r>
            </w:hyperlink>
          </w:p>
          <w:p w:rsidR="00020EEC" w:rsidRDefault="00020E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020EEC" w:rsidRDefault="00020E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:rsidR="00020EEC" w:rsidRDefault="00020E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:rsidR="00020EEC" w:rsidRDefault="00020EEC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20EEC" w:rsidRDefault="00020EEC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20EEC" w:rsidRDefault="00020EEC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Обща информация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  <w:u w:val="single"/>
        </w:rPr>
        <w:t>“Европа Ностра“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е европейският „глас“ на гражданското общество, отдаден на спасяването и популяризирането на културното и природното наследство. Паневропейска федерация от неправителствени организации за културно наследство, подкрепена от широка мрежа от публични организ</w:t>
      </w:r>
      <w:r>
        <w:rPr>
          <w:rFonts w:ascii="Arial" w:eastAsia="Arial" w:hAnsi="Arial" w:cs="Arial"/>
          <w:color w:val="000000"/>
          <w:sz w:val="20"/>
          <w:szCs w:val="20"/>
        </w:rPr>
        <w:t>ации, частни дружества и физически лица, „Европа Ностра“ е активна в над 40 държави. Тя е основана през 1963 г. и днес е призната за най-голямата и най-представителната мрежа в областта на културното наследство в Европа.</w:t>
      </w: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„Европа Ностра“ се бори за спасяван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ето на застрашените паметници, обекти и ландшафта на Европа, в частност чрез </w:t>
      </w:r>
      <w:hyperlink r:id="rId35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програмата „Седемте най-застрашени.“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Програмата отбелязва отличните постижения в областта чрез </w:t>
      </w:r>
      <w:hyperlink r:id="rId36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Европейските награди за културно наследство / наградите „Европа Ностра“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hyperlink r:id="rId37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European Heritage Awards / Europa Nostra Awards</w:t>
        </w:r>
      </w:hyperlink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 „Европа Ностра“ активно допринася за определянето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осъществяването на европейски стратегии и политики, свързани с културното наследство, чрез диалог с европейски институции и координирането на дейността на </w:t>
      </w:r>
      <w:hyperlink r:id="rId38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Европейския алианс за културното наследство (E</w:t>
        </w:r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uropean Heritage Alliance</w:t>
        </w:r>
      </w:hyperlink>
      <w:r>
        <w:rPr>
          <w:rFonts w:ascii="Arial" w:eastAsia="Arial" w:hAnsi="Arial" w:cs="Arial"/>
          <w:color w:val="002060"/>
          <w:sz w:val="20"/>
          <w:szCs w:val="20"/>
        </w:rPr>
        <w:t>).</w:t>
      </w: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20EEC" w:rsidRDefault="003D4413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39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Институтът на Европейската инвестиционна банка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(ИЕИБ) е създаден в рамките на Групата на ЕИБ (Европейската инвестиционна банка и Европейския инвестиционен фонд), за да популяризира и подкрепя социални, културни и академични инициативи на европейски заинтересовани страни и широката общественост. Инстит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утът е основен стълб на общественото и гражданското участие на Групата на ЕИБ. Повече информация на сайта </w:t>
      </w:r>
      <w:hyperlink r:id="rId40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http://institute.eib.org</w:t>
        </w:r>
      </w:hyperlink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20EEC" w:rsidRDefault="003D4413" w:rsidP="001043F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41">
        <w:r>
          <w:rPr>
            <w:rFonts w:ascii="Arial" w:eastAsia="Arial" w:hAnsi="Arial" w:cs="Arial"/>
            <w:color w:val="002060"/>
            <w:sz w:val="20"/>
            <w:szCs w:val="20"/>
            <w:u w:val="single"/>
          </w:rPr>
          <w:t>“Творческа Европа“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е програмата на Европейския съюз, която подпомага културния и творческия сектор, давайки им възможност да увеличат своя принос по отношение на работни места и растеж. С бюджет от 1,46 млрд. евро за периода 2014-2020 г., програмата подкре</w:t>
      </w:r>
      <w:r>
        <w:rPr>
          <w:rFonts w:ascii="Arial" w:eastAsia="Arial" w:hAnsi="Arial" w:cs="Arial"/>
          <w:color w:val="000000"/>
          <w:sz w:val="20"/>
          <w:szCs w:val="20"/>
        </w:rPr>
        <w:t>пя организации в сферите на културното  наследство, сценичното изкуство, изобразителното изкуство, интердисциплинарното изкуство, издателската дейност, филмовото изкуство, телевизията, музиката и видеоигрите, както и десетки хиляди творци и професионалисти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 областите на културата и аудиовизуалните изкуства. Финансирането, предоставено от „Творческа Европа,“ им позволява да работят в цяла Европа, да достигат до нови аудитории и да развиват умения, необходими в дигиталната ера.</w:t>
      </w:r>
      <w:bookmarkStart w:id="0" w:name="_GoBack"/>
      <w:bookmarkEnd w:id="0"/>
    </w:p>
    <w:p w:rsidR="00020EEC" w:rsidRDefault="00020E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20EEC" w:rsidRDefault="00020E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20EEC" w:rsidRDefault="00020E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020EEC">
      <w:pgSz w:w="11906" w:h="16838"/>
      <w:pgMar w:top="709" w:right="1008" w:bottom="567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13" w:rsidRDefault="003D441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D4413" w:rsidRDefault="003D44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13" w:rsidRDefault="003D44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D4413" w:rsidRDefault="003D4413">
      <w:pPr>
        <w:spacing w:after="0" w:line="240" w:lineRule="auto"/>
        <w:ind w:left="0" w:hanging="2"/>
      </w:pPr>
      <w:r>
        <w:continuationSeparator/>
      </w:r>
    </w:p>
  </w:footnote>
  <w:footnote w:id="1">
    <w:p w:rsidR="00020EEC" w:rsidRDefault="003D4413">
      <w:pPr>
        <w:spacing w:after="0" w:line="240" w:lineRule="auto"/>
        <w:ind w:left="0" w:hanging="2"/>
        <w:rPr>
          <w:sz w:val="16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r>
        <w:rPr>
          <w:b/>
          <w:highlight w:val="white"/>
        </w:rPr>
        <w:t xml:space="preserve">* </w:t>
      </w:r>
      <w:r>
        <w:rPr>
          <w:rFonts w:ascii="Arial" w:eastAsia="Arial" w:hAnsi="Arial" w:cs="Arial"/>
          <w:sz w:val="16"/>
          <w:highlight w:val="white"/>
        </w:rPr>
        <w:t xml:space="preserve">Това название не </w:t>
      </w:r>
      <w:r>
        <w:rPr>
          <w:rFonts w:ascii="Arial" w:eastAsia="Arial" w:hAnsi="Arial" w:cs="Arial"/>
          <w:sz w:val="16"/>
          <w:highlight w:val="white"/>
        </w:rPr>
        <w:t>засяга позициите по отношение на статута и е съобразено с Резолюция 1244/1999 на Съвета за сигурност на ООН и становището на Международния съд относно обявяването на независимост от страна на Косово.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A36"/>
    <w:multiLevelType w:val="multilevel"/>
    <w:tmpl w:val="6F7EB3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EA0E81"/>
    <w:multiLevelType w:val="multilevel"/>
    <w:tmpl w:val="438CD5A0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C"/>
    <w:rsid w:val="00020EEC"/>
    <w:rsid w:val="001043F1"/>
    <w:rsid w:val="003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78583A6-3100-42F0-A2A3-65FD951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bg-BG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pacing w:val="-2"/>
      <w:position w:val="-1"/>
      <w:lang w:val="en-GB"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MediumList2-Accent21">
    <w:name w:val="Medium List 2 - Accent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16"/>
      <w:lang w:val="nl-NL" w:eastAsia="ar-SA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mostendangered.eu/sites/achensee-steam-cog-railway-tyrol-austria/" TargetMode="External"/><Relationship Id="rId18" Type="http://schemas.openxmlformats.org/officeDocument/2006/relationships/hyperlink" Target="http://7mostendangered.eu/sites/five-southern-aegean-islands-greece/" TargetMode="External"/><Relationship Id="rId26" Type="http://schemas.openxmlformats.org/officeDocument/2006/relationships/hyperlink" Target="mailto:kalinapkuteva@gmail.com" TargetMode="External"/><Relationship Id="rId39" Type="http://schemas.openxmlformats.org/officeDocument/2006/relationships/hyperlink" Target="http://institute.eib.org/" TargetMode="External"/><Relationship Id="rId21" Type="http://schemas.openxmlformats.org/officeDocument/2006/relationships/hyperlink" Target="http://7mostendangered.eu/sites/decani-monastery-kosovo/" TargetMode="External"/><Relationship Id="rId34" Type="http://schemas.openxmlformats.org/officeDocument/2006/relationships/hyperlink" Target="http://institute.eib.or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7mostendangered.eu/sites/narikala-fortress-tbilisi-georgia/" TargetMode="External"/><Relationship Id="rId20" Type="http://schemas.openxmlformats.org/officeDocument/2006/relationships/hyperlink" Target="http://7mostendangered.eu/sites/the-ca-zenobio-palace-venice-italy/" TargetMode="External"/><Relationship Id="rId29" Type="http://schemas.openxmlformats.org/officeDocument/2006/relationships/hyperlink" Target="https://www.flickr.com/photos/europanostra/albums/72157717153367316" TargetMode="External"/><Relationship Id="rId41" Type="http://schemas.openxmlformats.org/officeDocument/2006/relationships/hyperlink" Target="http://ec.europa.eu/programmes/creative-europe/index_en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://7mostendangered.eu/advisory-panel/" TargetMode="External"/><Relationship Id="rId32" Type="http://schemas.openxmlformats.org/officeDocument/2006/relationships/hyperlink" Target="http://www.europanostra.org/" TargetMode="External"/><Relationship Id="rId37" Type="http://schemas.openxmlformats.org/officeDocument/2006/relationships/hyperlink" Target="http://www.europeanheritageawards.eu/" TargetMode="External"/><Relationship Id="rId40" Type="http://schemas.openxmlformats.org/officeDocument/2006/relationships/hyperlink" Target="http://institute.eib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mostendangered.eu/sites/church-of-saint-denis-hauts-de-france-france/" TargetMode="External"/><Relationship Id="rId23" Type="http://schemas.openxmlformats.org/officeDocument/2006/relationships/hyperlink" Target="http://7mostendangered.eu/sites/san-juan-de-socueva-chapel-and-hermitage-cantabria-spain/" TargetMode="External"/><Relationship Id="rId28" Type="http://schemas.openxmlformats.org/officeDocument/2006/relationships/hyperlink" Target="http://7mostendangered.eu/sites_list/shortlisted-2021/" TargetMode="External"/><Relationship Id="rId36" Type="http://schemas.openxmlformats.org/officeDocument/2006/relationships/hyperlink" Target="http://www.europeanheritageawards.e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7mostendangered.eu/sites/the-giusti-garden-verona-italy/" TargetMode="External"/><Relationship Id="rId31" Type="http://schemas.openxmlformats.org/officeDocument/2006/relationships/hyperlink" Target="https://www.europanostra.org/12-european-heritage-sites-shortlisted-for-the-7-most-endangered-programme-202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7mostendangered.eu/sites/cemetery-complex-of-mirogoj-zagreb-croatia/" TargetMode="External"/><Relationship Id="rId22" Type="http://schemas.openxmlformats.org/officeDocument/2006/relationships/hyperlink" Target="http://7mostendangered.eu/sites/central-post-office-in-skopje-north-macedonia/" TargetMode="External"/><Relationship Id="rId27" Type="http://schemas.openxmlformats.org/officeDocument/2006/relationships/hyperlink" Target="mailto:suffer.ani@gmail.com" TargetMode="External"/><Relationship Id="rId30" Type="http://schemas.openxmlformats.org/officeDocument/2006/relationships/hyperlink" Target="https://vimeo.com/487164310/75b379479f" TargetMode="External"/><Relationship Id="rId35" Type="http://schemas.openxmlformats.org/officeDocument/2006/relationships/hyperlink" Target="http://7mostendangered.eu/about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7mostendangered.eu/sites/modern-theatre-sofia-bulgaria/" TargetMode="External"/><Relationship Id="rId17" Type="http://schemas.openxmlformats.org/officeDocument/2006/relationships/hyperlink" Target="http://7mostendangered.eu/sites/green-belt-system-cologne-germany/" TargetMode="External"/><Relationship Id="rId25" Type="http://schemas.openxmlformats.org/officeDocument/2006/relationships/hyperlink" Target="http://europeanheritagealliance.eu/members/" TargetMode="External"/><Relationship Id="rId33" Type="http://schemas.openxmlformats.org/officeDocument/2006/relationships/hyperlink" Target="http://www.7mostendangered.eu/" TargetMode="External"/><Relationship Id="rId38" Type="http://schemas.openxmlformats.org/officeDocument/2006/relationships/hyperlink" Target="http://europeanheritageallian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+NzAcMythC6A1G9uArRrL+VbDA==">AMUW2mW/Wb0klmx1BaqQqYAdOSQk4b3aMqkABWdrkYNrMjN0pLW1jQ9F5GEQHTXigGEjGRRD+RcOoA61g0ZzA1QCfPsuadqOn/iZwa/qOVTQakIPyUjRcaY=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2006</Words>
  <Characters>10835</Characters>
  <Application>Microsoft Office Word</Application>
  <DocSecurity>0</DocSecurity>
  <Lines>90</Lines>
  <Paragraphs>25</Paragraphs>
  <ScaleCrop>false</ScaleCrop>
  <Company>Private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J&amp;E</cp:lastModifiedBy>
  <cp:revision>2</cp:revision>
  <dcterms:created xsi:type="dcterms:W3CDTF">2020-12-02T21:39:00Z</dcterms:created>
  <dcterms:modified xsi:type="dcterms:W3CDTF">2020-12-09T23:49:00Z</dcterms:modified>
</cp:coreProperties>
</file>